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bookmarkStart w:id="0" w:name="_GoBack"/>
      <w:r w:rsidRPr="00667332">
        <w:rPr>
          <w:rFonts w:ascii="Arial" w:hAnsi="Arial" w:cs="Arial"/>
          <w:color w:val="000000"/>
          <w:sz w:val="28"/>
          <w:szCs w:val="28"/>
          <w:rtl/>
        </w:rPr>
        <w:t>افسانه جمشیدی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ولايت فقيه يعني اداره‌ی  امور جــامعه در زمان غيبت امام عصر (عج) توسط فقهايي است که بر کتاب و سنت احـــاطه داشته و داراي شرايطي مانند عقل، علــم، توانايي، عدالت و آگاهي به زمان، حـافظ دين و مخالف هواي نفس باشند که ولايت فقيه به اين معنا ضامن اجراي قوانين اسلام است.</w:t>
      </w:r>
      <w:bookmarkStart w:id="1" w:name="_ftnref10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"_ftn10"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[10]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"/>
    </w:p>
    <w:p w:rsidR="00667332" w:rsidRPr="00667332" w:rsidRDefault="00667332" w:rsidP="00667332">
      <w:pPr>
        <w:pStyle w:val="Heading2"/>
        <w:bidi/>
        <w:spacing w:before="0" w:beforeAutospacing="0" w:after="0" w:afterAutospacing="0"/>
        <w:rPr>
          <w:rFonts w:ascii="Arial" w:hAnsi="Arial" w:cs="Arial"/>
          <w:color w:val="006699"/>
          <w:sz w:val="28"/>
          <w:szCs w:val="28"/>
          <w:rtl/>
        </w:rPr>
      </w:pPr>
      <w:bookmarkStart w:id="2" w:name="_Toc330710679"/>
      <w:r w:rsidRPr="00667332">
        <w:rPr>
          <w:rFonts w:ascii="Arial" w:hAnsi="Arial" w:cs="Arial"/>
          <w:color w:val="006699"/>
          <w:sz w:val="28"/>
          <w:szCs w:val="28"/>
          <w:rtl/>
        </w:rPr>
        <w:t>تاريخچه‌ی  ولايت فقيه (از قرن5 الي10 ه.ق)</w:t>
      </w:r>
      <w:bookmarkEnd w:id="2"/>
    </w:p>
    <w:p w:rsidR="00667332" w:rsidRPr="00667332" w:rsidRDefault="00667332" w:rsidP="00667332">
      <w:pPr>
        <w:spacing w:before="240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در بررسي سير تاريخي ولايت فقيه در آثار فقهي علماي شيعه دو نکته را باید مد نظر قرار داد: اول اينکه صدور انديشه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هاي سياسي از سوي آنها رابطه‌ی  مستقيم با ميزان برخورد و درگيري اين افـراد با رويدادهاي سيـــاسي و اجتمــاعي عصر خود داشته است؛ یعنی علمــايي که بيشترين برخورد را با مســائل سياسي داشته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اند، بيشتــرين و صريح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ترين نظريات سياسي را ارائه نموده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 که نمونـه‌ی  بارز آن امام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خميني (ره)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باشد</w:t>
      </w:r>
      <w:bookmarkStart w:id="3" w:name="_ftnref11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"_ftn11"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[11]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3"/>
      <w:r w:rsidRPr="00667332">
        <w:rPr>
          <w:rFonts w:ascii="Arial" w:hAnsi="Arial" w:cs="Arial"/>
          <w:color w:val="000000"/>
          <w:sz w:val="28"/>
          <w:szCs w:val="28"/>
          <w:rtl/>
        </w:rPr>
        <w:t> و ثانياً در کتب فقهي گذشته در ضمن مباحث مربوط به ولایت فقیه، لفظ «فقيـــه» به ندرت به چشم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خورد و اين معنا در هر دوره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اي در قـالب واژه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هاي مختلف ارائه شده است که به ترتيب بیشترین استعمال عبارتند از: حاکم، امام(يا امام عادل)، زير مجموعه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 xml:space="preserve">هاي فقيه با عنوان مجتهد، علماء، عارف به احکام، من اليه الحکم و من له اهليه‌ی 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الحکم مي باشد. سپس واژه‌ی  سلطان با پسوندهاي مختلف مثل حق، جهاد، اسلام و عادل و کلماتي از قبيل ناظرالعام ، نايب الغيبه و والي بیشترین استعمال را داشته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اند.</w:t>
      </w:r>
      <w:bookmarkStart w:id="4" w:name="_ftnref12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"_ftn12"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[12]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4"/>
    </w:p>
    <w:p w:rsidR="00667332" w:rsidRPr="00667332" w:rsidRDefault="00667332" w:rsidP="00667332">
      <w:pPr>
        <w:pStyle w:val="Heading3"/>
        <w:spacing w:before="0"/>
        <w:rPr>
          <w:rFonts w:ascii="Arial" w:hAnsi="Arial" w:cs="Arial"/>
          <w:color w:val="334D55"/>
          <w:sz w:val="28"/>
          <w:szCs w:val="28"/>
          <w:rtl/>
        </w:rPr>
      </w:pPr>
      <w:bookmarkStart w:id="5" w:name="_Toc330710680"/>
      <w:r w:rsidRPr="00667332">
        <w:rPr>
          <w:rFonts w:ascii="Arial" w:hAnsi="Arial" w:cs="Arial"/>
          <w:color w:val="334D55"/>
          <w:sz w:val="28"/>
          <w:szCs w:val="28"/>
          <w:rtl/>
        </w:rPr>
        <w:t>1- شيخ مفيد (متوفي413 ق)</w:t>
      </w:r>
      <w:bookmarkEnd w:id="5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اولين فقيه شيعي که پا از دايره‌ی  اخبار و نقل فراتر گذاشته و به بيان نظريات عقلاني پرداخت، عالم بزرگوار و مايه‌ی  فخــر شيعه، شيخ مفيد(ره) بود. وي در کتاب گرانقدر 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المقنعه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 به بيان نظــرات فقهي خود پرداخته و بحث ولايت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فقيـــه را در باب امر به معروف و نهي از منکر و اقامه‌ی  حدود مطرح نموده است.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ایشان در اين باب پس از آنکه اقامه‌ی  حدود را بر عهده‌ی  سلطان اسلام و منصوب از سوي خدا، يعني ائمه‌ی  هدي (ع) می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داند، پس از ایشان امر اجـراي حدود را تفويض شده از سوي معصومين(ع) به فقهاي شيعه دانسته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 که در صورت امکــان بايد اجراي حد کرده و به مواردي چون قطع دست سـارق، تازيانه زدن بر زاني و قتل قاتل اقـــدام نمايد و اين کار را بر امير و حاکم شيعـــه واجب و لازم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داند.</w:t>
      </w:r>
      <w:bookmarkStart w:id="6" w:name="_ftnref13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"_ftn13"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[13]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6"/>
      <w:r w:rsidRPr="00667332">
        <w:rPr>
          <w:rFonts w:ascii="Arial" w:hAnsi="Arial" w:cs="Arial"/>
          <w:color w:val="000000"/>
          <w:sz w:val="28"/>
          <w:szCs w:val="28"/>
          <w:rtl/>
        </w:rPr>
        <w:t> امر ديگــري که به عقیده‌ی  ایشان به فقها واگذار شده، امر قضا و حکم کردن بين مؤمنين بر اسـاس شرع و صلح برقرار کردن بين آنهاست.</w:t>
      </w:r>
      <w:bookmarkStart w:id="7" w:name="_ftnref14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"_ftn14"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[14]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7"/>
      <w:r w:rsidRPr="00667332">
        <w:rPr>
          <w:rFonts w:ascii="Arial" w:hAnsi="Arial" w:cs="Arial"/>
          <w:color w:val="000000"/>
          <w:sz w:val="28"/>
          <w:szCs w:val="28"/>
          <w:rtl/>
        </w:rPr>
        <w:t> همچنين شيخ مفيد در بحث وصيت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گويند: «اگر وصي بميرد، در نبود سلطــان عادل، فقهاي عادل شيعه که صاحب عقل و نظر و فضل هستند، تمام آنچــه را سلطان اسلام (امام معصوم) سرپرستي مي کند، به عهده دارند»</w:t>
      </w:r>
      <w:bookmarkStart w:id="8" w:name="_ftnref15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"_ftn15"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[15]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8"/>
    </w:p>
    <w:p w:rsidR="00667332" w:rsidRPr="00667332" w:rsidRDefault="00667332" w:rsidP="00667332">
      <w:pPr>
        <w:pStyle w:val="Heading3"/>
        <w:spacing w:before="0"/>
        <w:rPr>
          <w:rFonts w:ascii="Arial" w:hAnsi="Arial" w:cs="Arial"/>
          <w:color w:val="334D55"/>
          <w:sz w:val="28"/>
          <w:szCs w:val="28"/>
          <w:rtl/>
        </w:rPr>
      </w:pPr>
      <w:bookmarkStart w:id="9" w:name="_Toc330710681"/>
      <w:r w:rsidRPr="00667332">
        <w:rPr>
          <w:rFonts w:ascii="Arial" w:hAnsi="Arial" w:cs="Arial"/>
          <w:color w:val="334D55"/>
          <w:sz w:val="28"/>
          <w:szCs w:val="28"/>
          <w:rtl/>
        </w:rPr>
        <w:lastRenderedPageBreak/>
        <w:t>2- ابي</w:t>
      </w:r>
      <w:r w:rsidRPr="00667332">
        <w:rPr>
          <w:rFonts w:ascii="Arial" w:hAnsi="Arial" w:cs="Arial"/>
          <w:color w:val="334D55"/>
          <w:sz w:val="28"/>
          <w:szCs w:val="28"/>
          <w:rtl/>
        </w:rPr>
        <w:softHyphen/>
        <w:t>صلاح حلبي(447-374)</w:t>
      </w:r>
      <w:bookmarkEnd w:id="9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تقی بن نجم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الدین بن عبیدالله الحلبی معروف به ابي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الصــــلاح حلبي از معاصران شيخ مفيد و از شاگردان سيد مرتضي و شيخ طوسي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باشد. وي جانشين سيد مرتضي در حلب و به گفته‌ی  محـــدث نوري جانشين شيـــخ طوسي در منطقـــه‌ی  شام بوده است. 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الکــافي فی الفقه 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مشهورترين اثر فقهي ابو الصـــلاح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باشد.</w:t>
      </w:r>
    </w:p>
    <w:p w:rsidR="00667332" w:rsidRPr="00667332" w:rsidRDefault="00667332" w:rsidP="00667332">
      <w:pPr>
        <w:spacing w:before="240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ايشان در این کتاب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 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در مبحث قضاء ضمن اشاره به این نکته که در زمان حضور معصوم تنفيذ احکام بر عهــده ائمه اطهار(ع) و کساني که از سوي آنها تعيين شده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اند، می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باشد، این وظیفه را در صورت عدم حضور معصوم، مختص شيعيانی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داند که داراي شروط نائب امام باشند. اين شـروط عبارتند از: علم به حکــم حق، عقل، حلم، عدالت، ورع و قدرت بر قضاء.</w:t>
      </w:r>
      <w:bookmarkStart w:id="10" w:name="_ftnref16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"_ftn16"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[16]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0"/>
      <w:r w:rsidRPr="00667332">
        <w:rPr>
          <w:rFonts w:ascii="Arial" w:hAnsi="Arial" w:cs="Arial"/>
          <w:color w:val="000000"/>
          <w:sz w:val="28"/>
          <w:szCs w:val="28"/>
          <w:rtl/>
        </w:rPr>
        <w:t> وي بر کسي که اين شـرايط را داراست واجب مي داند در هنگـــام رجوع مردم، اقدام به قضاوت نمايند و از اين تکليف روی بر نگردانند؛ چرا که او نايب از سوي ولي امر(عج)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باشد. ضمناً مـــردم را نيز مکلف به رجوع به او در حکم مي داند و رد کننده‌ی  حکم حـــاکم را همانند رد کننده‌ی  حکـــم خـدا و رسول مي داند.</w:t>
      </w:r>
      <w:bookmarkStart w:id="11" w:name="_ftnref17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"_ftn17"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[17]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1"/>
      <w:r w:rsidRPr="00667332">
        <w:rPr>
          <w:rFonts w:ascii="Arial" w:hAnsi="Arial" w:cs="Arial"/>
          <w:color w:val="000000"/>
          <w:sz w:val="28"/>
          <w:szCs w:val="28"/>
          <w:rtl/>
        </w:rPr>
        <w:t> ايشان در اثبات نظريـه خود به ادله نقلي از جمله روايت عمر بن حنظله و مشهوره‌ی  ابوخديجه استناد می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کند.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حلبي در بحث خمس نيز ولايت بر واجبات مالی از جمله خمس و زکات و مصرف آن در زمان غيبت را به عهده «فقيه مأمون» می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داند و و در واقع اين اصطلاح، خود، اشاره به ولایت فقهاء در زمان عـدم حضور معصــومين (ع) دارد.</w:t>
      </w:r>
      <w:bookmarkStart w:id="12" w:name="_ftnref18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"_ftn18"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[18]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2"/>
    </w:p>
    <w:p w:rsidR="00667332" w:rsidRPr="00667332" w:rsidRDefault="00667332" w:rsidP="00667332">
      <w:pPr>
        <w:pStyle w:val="Heading3"/>
        <w:spacing w:before="0"/>
        <w:rPr>
          <w:rFonts w:ascii="Arial" w:hAnsi="Arial" w:cs="Arial"/>
          <w:color w:val="334D55"/>
          <w:sz w:val="28"/>
          <w:szCs w:val="28"/>
          <w:rtl/>
        </w:rPr>
      </w:pPr>
      <w:bookmarkStart w:id="13" w:name="_Toc330710682"/>
      <w:r w:rsidRPr="00667332">
        <w:rPr>
          <w:rFonts w:ascii="Arial" w:hAnsi="Arial" w:cs="Arial"/>
          <w:color w:val="334D55"/>
          <w:sz w:val="28"/>
          <w:szCs w:val="28"/>
          <w:rtl/>
        </w:rPr>
        <w:t>3- شيخ طوسي(460– 385)</w:t>
      </w:r>
      <w:bookmarkEnd w:id="13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ايشان در کتاب 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النهايه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 اشاراتي به وظايف و شئون ولايت فقيـه دارد از جمله اينکه در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 کتاب المکاسب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 باب «عمل سلطان و اخذ جوايزهم» آورده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اند: «پذيرش ولايت امر از سوي سلطان عادل، آمر به معروف و ناهي از منکر، کسي که واضـــع اشياء در مواضعشان است(عدالت)، جايز و چه بسا به حد وجوب باشد؛ چرا که اين امر امکان امر به معروف و نهي از منکر و اجراي عدالت را فراهم مي نمايد.»</w:t>
      </w:r>
      <w:bookmarkStart w:id="14" w:name="_ftnref19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"_ftn19"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[19]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4"/>
      <w:r w:rsidRPr="00667332">
        <w:rPr>
          <w:rFonts w:ascii="Arial" w:hAnsi="Arial" w:cs="Arial"/>
          <w:color w:val="000000"/>
          <w:sz w:val="28"/>
          <w:szCs w:val="28"/>
          <w:rtl/>
        </w:rPr>
        <w:t> همچنین در باب امر به معــروف و نهي از منکـــر نيز به امر قضا که به فقهاي شيعه تفويض شده، اشاره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کند.</w:t>
      </w:r>
      <w:bookmarkStart w:id="15" w:name="_ftnref20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"_ftn20"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[20]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5"/>
      <w:r w:rsidRPr="00667332">
        <w:rPr>
          <w:rFonts w:ascii="Arial" w:hAnsi="Arial" w:cs="Arial"/>
          <w:color w:val="000000"/>
          <w:sz w:val="28"/>
          <w:szCs w:val="28"/>
          <w:rtl/>
        </w:rPr>
        <w:t>                                   </w:t>
      </w:r>
    </w:p>
    <w:p w:rsidR="00667332" w:rsidRPr="00667332" w:rsidRDefault="00667332" w:rsidP="00667332">
      <w:pPr>
        <w:pStyle w:val="Heading3"/>
        <w:spacing w:before="0"/>
        <w:rPr>
          <w:rFonts w:ascii="Arial" w:hAnsi="Arial" w:cs="Arial"/>
          <w:color w:val="334D55"/>
          <w:sz w:val="28"/>
          <w:szCs w:val="28"/>
          <w:rtl/>
        </w:rPr>
      </w:pPr>
      <w:bookmarkStart w:id="16" w:name="_Toc330710683"/>
      <w:r w:rsidRPr="00667332">
        <w:rPr>
          <w:rFonts w:ascii="Arial" w:hAnsi="Arial" w:cs="Arial"/>
          <w:color w:val="334D55"/>
          <w:sz w:val="28"/>
          <w:szCs w:val="28"/>
          <w:rtl/>
        </w:rPr>
        <w:t>4- ابن برّاج(481 –400)</w:t>
      </w:r>
      <w:bookmarkEnd w:id="16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عبدالعزيزبن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 xml:space="preserve"> البراج الطرابلسي يکي ديگر از علمــاي قرن پنجم است که در کتاب فقهيش بنام 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المهذب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 مانند سايرين در باب مکــاسب و امر به معروف و نهي از منکر «مأذون بودن» ولي امر از سوي معصومين(علیهم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السلام) را يادآور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شود.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 xml:space="preserve">وي در باب خـــدمت به سلطان و اخــذ جوائزش مي نويسد: «اما سلطان عادل اسلام مستحب است خـــدمت به او و چه بسا واجب باشـد بر مکلف. اگر چنين سلطاني در امـــري و حکمي به کسي </w:t>
      </w:r>
      <w:r w:rsidRPr="00667332">
        <w:rPr>
          <w:rFonts w:ascii="Arial" w:hAnsi="Arial" w:cs="Arial"/>
          <w:color w:val="000000"/>
          <w:sz w:val="28"/>
          <w:szCs w:val="28"/>
          <w:rtl/>
        </w:rPr>
        <w:lastRenderedPageBreak/>
        <w:t>ولايت دهد، واجب است اطــاعتش و ترک مخالفت و جايز است قبول جوائزش و تصرف در جميع آنها.»</w:t>
      </w:r>
      <w:bookmarkStart w:id="17" w:name="_ftnref21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"_ftn21"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[21]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7"/>
    </w:p>
    <w:p w:rsidR="00667332" w:rsidRPr="00667332" w:rsidRDefault="00667332" w:rsidP="00667332">
      <w:pPr>
        <w:pStyle w:val="Heading3"/>
        <w:spacing w:before="0"/>
        <w:rPr>
          <w:rFonts w:ascii="Arial" w:hAnsi="Arial" w:cs="Arial"/>
          <w:color w:val="334D55"/>
          <w:sz w:val="28"/>
          <w:szCs w:val="28"/>
          <w:rtl/>
        </w:rPr>
      </w:pPr>
      <w:bookmarkStart w:id="18" w:name="_Toc330710684"/>
      <w:r w:rsidRPr="00667332">
        <w:rPr>
          <w:rFonts w:ascii="Arial" w:hAnsi="Arial" w:cs="Arial"/>
          <w:color w:val="334D55"/>
          <w:sz w:val="28"/>
          <w:szCs w:val="28"/>
          <w:rtl/>
        </w:rPr>
        <w:t>5- ابن ادريس (متوفي598)</w:t>
      </w:r>
      <w:bookmarkEnd w:id="18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ابي جعفر محمـــدبن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منصور بن ادريس الحلي در کتاب 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سرائر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 باب حـــدود در عباراتي بسيار شبيه ابوصـــلاح حلبي، شرايط قاضي را بيان کرده و با رواياتي از جمله مقبوله‌ی  عمر بن حنظله بر لزوم رجوع شيعه به منصوبين ائمه در قضاء تأکيد مي نمايد.</w:t>
      </w:r>
      <w:bookmarkStart w:id="19" w:name="_ftnref22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"_ftn22"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[22]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9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وي ضمن اينکه ولي فقيه را منصوب از سوي امام دانسته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گويد: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«بين حدود و ساير احکام فرقي نيست و حاکم منصوب از سوي امام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تواند مانند آنچه که معصومين حکم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کردند، مطابق علمش حکم کند.»</w:t>
      </w:r>
      <w:bookmarkStart w:id="20" w:name="_ftnref23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"_ftn23"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[23]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20"/>
    </w:p>
    <w:p w:rsidR="00667332" w:rsidRPr="00667332" w:rsidRDefault="00667332" w:rsidP="00667332">
      <w:pPr>
        <w:pStyle w:val="Heading3"/>
        <w:spacing w:before="0"/>
        <w:rPr>
          <w:rFonts w:ascii="Arial" w:hAnsi="Arial" w:cs="Arial"/>
          <w:color w:val="334D55"/>
          <w:sz w:val="28"/>
          <w:szCs w:val="28"/>
          <w:rtl/>
        </w:rPr>
      </w:pPr>
      <w:bookmarkStart w:id="21" w:name="_Toc330710685"/>
      <w:r w:rsidRPr="00667332">
        <w:rPr>
          <w:rFonts w:ascii="Arial" w:hAnsi="Arial" w:cs="Arial"/>
          <w:color w:val="334D55"/>
          <w:sz w:val="28"/>
          <w:szCs w:val="28"/>
          <w:rtl/>
        </w:rPr>
        <w:t>6- محقق حلي (676 – 602 )</w:t>
      </w:r>
      <w:bookmarkEnd w:id="21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جعفر بن سعيد حلي عالم بزرگوار قرن هفتم در کتاب معروف خود 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شرايع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softHyphen/>
        <w:t>الاسلام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 در باب قضاء حکم فقهاي جامع الشرايط در زمان عــدم حضور امام معصوم(ع) را نافذ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داند. وي دليل اين مسئله را روايت امام صــادق(ع) ذکر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کند که ايشان مستقيماً امر به رجوع به چنين قاضيي نموده و فـــرموده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اند: «فاجعلوه قاضياً فإني جعلته قاضياً فتحاکموا اليه».</w:t>
      </w:r>
      <w:bookmarkStart w:id="22" w:name="_ftnref24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"_ftn24"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[24]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22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همچنين در باب امر به معروف و اجراي حدود آورده است: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«بعضي علما جاري کردن حدود را براي مجتهدين در زمـان غيبت امام(ع) جايز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دانند؛ چنانکه حکم کردن ميان مـردم جايز است. در صورت ايمن بودن از ضــرر حاکم زمان واجب است بر مـــردم که ياريش کنند، مشـــروط بر اينکه وي دانا به کتاب و سنت و احکام شرعي و نحوه‌ی  اجراي آن باشد.»</w:t>
      </w:r>
      <w:bookmarkStart w:id="23" w:name="_ftnref25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"_ftn25"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[25]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23"/>
    </w:p>
    <w:p w:rsidR="00667332" w:rsidRPr="00667332" w:rsidRDefault="00667332" w:rsidP="00667332">
      <w:pPr>
        <w:pStyle w:val="Heading3"/>
        <w:spacing w:before="0"/>
        <w:rPr>
          <w:rFonts w:ascii="Arial" w:hAnsi="Arial" w:cs="Arial"/>
          <w:color w:val="334D55"/>
          <w:sz w:val="28"/>
          <w:szCs w:val="28"/>
          <w:rtl/>
        </w:rPr>
      </w:pPr>
      <w:bookmarkStart w:id="24" w:name="_Toc330710686"/>
      <w:r w:rsidRPr="00667332">
        <w:rPr>
          <w:rFonts w:ascii="Arial" w:hAnsi="Arial" w:cs="Arial"/>
          <w:color w:val="334D55"/>
          <w:sz w:val="28"/>
          <w:szCs w:val="28"/>
          <w:rtl/>
        </w:rPr>
        <w:t>7- علامه حلي(726 – 648)</w:t>
      </w:r>
      <w:bookmarkEnd w:id="24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حسن بن يوسف بن مطهر اسدي در کتاب 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مختلف الشيعه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 باب امر به معروف و نهي از منکر ضمن اشاره به اين مطلب که تعطيل حـــدود منجر به ارتکاب محارم و نشر مفاسد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شود و شــرع مقدس راضي به اين امر نيست، با نقل رواياتي از جمله مقبوله‌ی  عمر بن حنظله، آنها را دال بر اعطاي حکم از سوي ائمه(ع) به فقهاء مي داند و ضمناً به عام بودن اين حکم اعم از اجراي حدود تأکيد دارد.</w:t>
      </w:r>
      <w:bookmarkStart w:id="25" w:name="_ftnref26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"_ftn26"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[26]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25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در همين مبحث ايشـان ضمن نقل قولي از سلّار مبني بر اينکه نهي از منکر در قتل و جرح در صورت عـــدم دسترسي به معصـــوم(علیه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السلام) از سوي آنها به فقهـاء تفويض شده، مي نويسد: «اقرب نزد ما جواز آن براي فقهاء است.»</w:t>
      </w:r>
      <w:bookmarkStart w:id="26" w:name="_ftnref27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"_ftn27"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[27]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26"/>
    </w:p>
    <w:p w:rsidR="00667332" w:rsidRPr="00667332" w:rsidRDefault="00667332" w:rsidP="00667332">
      <w:pPr>
        <w:pStyle w:val="Heading3"/>
        <w:spacing w:before="0"/>
        <w:rPr>
          <w:rFonts w:ascii="Arial" w:hAnsi="Arial" w:cs="Arial"/>
          <w:color w:val="334D55"/>
          <w:sz w:val="28"/>
          <w:szCs w:val="28"/>
          <w:rtl/>
        </w:rPr>
      </w:pPr>
      <w:bookmarkStart w:id="27" w:name="_Toc330710687"/>
      <w:r w:rsidRPr="00667332">
        <w:rPr>
          <w:rFonts w:ascii="Arial" w:hAnsi="Arial" w:cs="Arial"/>
          <w:color w:val="334D55"/>
          <w:sz w:val="28"/>
          <w:szCs w:val="28"/>
          <w:rtl/>
        </w:rPr>
        <w:lastRenderedPageBreak/>
        <w:t>8- شهيد اول(786 – 736)</w:t>
      </w:r>
      <w:bookmarkEnd w:id="27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شمس الدين محمد بن مکي در کتاب الدروس الشرعيه هم در باب قضاء و هم در کتاب الحسبه مطالبي را در مورد فقيـــه جامع الشرايط و نافــذ بودن حکم او بيان کرده و رجوع به فقيه و ياري کردن و تقويت او را واجب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داند.</w:t>
      </w:r>
      <w:bookmarkStart w:id="28" w:name="_ftnref28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"_ftn28"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[28]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28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علاوه بر اين در کتـــاب لمعـــه، باب وصايا، در مورد بعضی از شئون حـــاکم مي نويسد: «در صورت عجــز و ضعف وصي ميت و يا خيانت او، حاکم و فقيه، ولايت دارد که برايش کمک گرفته يا شخصي را جايگزين او نمايد.»</w:t>
      </w:r>
      <w:bookmarkStart w:id="29" w:name="_ftnref29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"_ftn29"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[29]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29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نيز در باب نکــاح، ولايت حاکم در ازدواج افراد فاقد عقل در صورت نداشتن پدر و جد پدري  را يادآور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شود.</w:t>
      </w:r>
      <w:bookmarkStart w:id="30" w:name="_ftnref30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"_ftn30"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[30]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30"/>
    </w:p>
    <w:p w:rsidR="00667332" w:rsidRPr="00667332" w:rsidRDefault="00667332" w:rsidP="00667332">
      <w:pPr>
        <w:pStyle w:val="Heading3"/>
        <w:spacing w:before="0"/>
        <w:rPr>
          <w:rFonts w:ascii="Arial" w:hAnsi="Arial" w:cs="Arial"/>
          <w:color w:val="334D55"/>
          <w:sz w:val="28"/>
          <w:szCs w:val="28"/>
          <w:rtl/>
        </w:rPr>
      </w:pPr>
      <w:bookmarkStart w:id="31" w:name="_Toc330710688"/>
      <w:r w:rsidRPr="00667332">
        <w:rPr>
          <w:rFonts w:ascii="Arial" w:hAnsi="Arial" w:cs="Arial"/>
          <w:color w:val="334D55"/>
          <w:sz w:val="28"/>
          <w:szCs w:val="28"/>
          <w:rtl/>
        </w:rPr>
        <w:t>9-محقق کرکي(940 – 868)</w:t>
      </w:r>
      <w:bookmarkEnd w:id="31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ايشان که خود در زمان شـاه طهماسب عملاً ولايت مي کرد و از سوي شاه بعنوان نايب امام شناخته و خطاب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شد، نظــرات خود را در کتاب 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رسائل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 و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جامع المقاصد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 در مورد ولايت فقهـا بيان نموده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 و ضمناً نظريــه‌ی  نايب بودن ولي فقيه و مجتهد جامع الشرايط از سوي امام (ع) در عصر غيبت را مورد اتفاق همه علماي شيعه ميداند.</w:t>
      </w:r>
      <w:bookmarkStart w:id="32" w:name="_ftnref31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"_ftn31"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[31]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32"/>
      <w:r w:rsidRPr="00667332">
        <w:rPr>
          <w:rFonts w:ascii="Arial" w:hAnsi="Arial" w:cs="Arial"/>
          <w:color w:val="000000"/>
          <w:sz w:val="28"/>
          <w:szCs w:val="28"/>
          <w:rtl/>
        </w:rPr>
        <w:t> محقق کرکي در جامع المقاصد، باب وصــايا، ولايت حـــاکم بر اموال ميت فاقـــد وصيت را متذکر شده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اند.</w:t>
      </w:r>
      <w:bookmarkStart w:id="33" w:name="_ftnref32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"_ftn32"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[32]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33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 </w:t>
      </w:r>
    </w:p>
    <w:p w:rsidR="00667332" w:rsidRPr="00667332" w:rsidRDefault="00667332" w:rsidP="00667332">
      <w:pPr>
        <w:pStyle w:val="Heading2"/>
        <w:bidi/>
        <w:spacing w:before="0" w:beforeAutospacing="0" w:after="0" w:afterAutospacing="0"/>
        <w:rPr>
          <w:rFonts w:ascii="Arial" w:hAnsi="Arial" w:cs="Arial"/>
          <w:color w:val="006699"/>
          <w:sz w:val="28"/>
          <w:szCs w:val="28"/>
          <w:rtl/>
        </w:rPr>
      </w:pPr>
      <w:bookmarkStart w:id="34" w:name="_Toc330710689"/>
      <w:r w:rsidRPr="00667332">
        <w:rPr>
          <w:rFonts w:ascii="Arial" w:hAnsi="Arial" w:cs="Arial"/>
          <w:color w:val="006699"/>
          <w:sz w:val="28"/>
          <w:szCs w:val="28"/>
          <w:rtl/>
        </w:rPr>
        <w:t>تاريخچه‌ی  ولايت فقيه (از قرن 11 تا 15ه.ق)</w:t>
      </w:r>
      <w:bookmarkEnd w:id="34"/>
    </w:p>
    <w:p w:rsidR="00667332" w:rsidRPr="00667332" w:rsidRDefault="00667332" w:rsidP="00667332">
      <w:pPr>
        <w:spacing w:before="240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با توجه به شيوع تفکر اخباري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گري از قرن 11 و کاهش آثار فقهي، بيشتر علمايي که در اين بخش به ذکر آثارشان پــرداخته مي شود از قرن 13 به بعد هستند که در اينجا به نظرات مهمترين شخصيت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هاي اين دوره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پردازيم.</w:t>
      </w:r>
    </w:p>
    <w:p w:rsidR="00667332" w:rsidRPr="00667332" w:rsidRDefault="00667332" w:rsidP="00667332">
      <w:pPr>
        <w:pStyle w:val="Heading3"/>
        <w:spacing w:before="0"/>
        <w:rPr>
          <w:rFonts w:ascii="Arial" w:hAnsi="Arial" w:cs="Arial"/>
          <w:color w:val="334D55"/>
          <w:sz w:val="28"/>
          <w:szCs w:val="28"/>
          <w:rtl/>
        </w:rPr>
      </w:pPr>
      <w:bookmarkStart w:id="35" w:name="_Toc330710690"/>
      <w:r w:rsidRPr="00667332">
        <w:rPr>
          <w:rFonts w:ascii="Arial" w:hAnsi="Arial" w:cs="Arial"/>
          <w:color w:val="334D55"/>
          <w:sz w:val="28"/>
          <w:szCs w:val="28"/>
          <w:rtl/>
        </w:rPr>
        <w:t>1- شيخ جعفر کاشف الغطاء(1228 – 1154)</w:t>
      </w:r>
      <w:bookmarkEnd w:id="35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وي در کتاب گـــرانقدر 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کشف الغطاء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 همچون علمــاي ديگـــر اجراي حدود و تعزيرات را متعلق به امام معصوم، نايب خاص يا نايب عام ايشان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داند و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نويسد: « فيجوز للمجتهد في زمان الغيبـه إقامتها و يجب علي جميع المکلفين تقويته و مساعدته .... لايجوز لغير المجتهد تولّي القضاء الّا تقيه.»</w:t>
      </w:r>
      <w:bookmarkStart w:id="36" w:name="_ftnref33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"_ftn33"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[33]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36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نيز در جايي ديگر دارد: «اگر فقيه منصوب عام که مأذون از طرف امام معصوم(ع) است، حــاکم جامعه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اسلامي را نصب نمايد او از حــاکمان جور نخواهد بود. «إنه لو نَصَب الفقيـــه المنصوب من العام بالاذن العام سلطاناً او حاکماً لاهل الاسلام لم يکن من حکام الجور»</w:t>
      </w:r>
      <w:bookmarkStart w:id="37" w:name="_ftnref34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"_ftn34"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[34]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37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lastRenderedPageBreak/>
        <w:t>کاشف الغطـاء حتي جهاد دفاعي و تدبير امور جنگ در زمان غيبت را نيز بر عهده مجتهدان که نايب امام(ع) هستند،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داند و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گويد: «من به دليل نيابتي که از ناحيه امـام زمان(عج) دارم به فتحعلي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شاه اجازه دادم تا آن چيزهايي که براي تدبير امور جنگ و سپاه و دفع اهل کفر لازم است تهيه و از مردم اخذ نمايد.»</w:t>
      </w:r>
      <w:bookmarkStart w:id="38" w:name="_ftnref35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"_ftn35"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[35]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38"/>
    </w:p>
    <w:p w:rsidR="00667332" w:rsidRPr="00667332" w:rsidRDefault="00667332" w:rsidP="00667332">
      <w:pPr>
        <w:pStyle w:val="Heading3"/>
        <w:spacing w:before="0"/>
        <w:rPr>
          <w:rFonts w:ascii="Arial" w:hAnsi="Arial" w:cs="Arial"/>
          <w:color w:val="334D55"/>
          <w:sz w:val="28"/>
          <w:szCs w:val="28"/>
          <w:rtl/>
        </w:rPr>
      </w:pPr>
      <w:bookmarkStart w:id="39" w:name="_Toc330710691"/>
      <w:r w:rsidRPr="00667332">
        <w:rPr>
          <w:rFonts w:ascii="Arial" w:hAnsi="Arial" w:cs="Arial"/>
          <w:color w:val="334D55"/>
          <w:sz w:val="28"/>
          <w:szCs w:val="28"/>
          <w:rtl/>
        </w:rPr>
        <w:t>2- مولي احمد نراقي(1245 – 1185)</w:t>
      </w:r>
      <w:bookmarkEnd w:id="39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ايشان ديدگاههاي جــديدي در مورد ولايت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فقيه دارند که در کتاب 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عوائدالايام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 آورده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 و چنانکه از نظراتشان پيداست معتقــد به ولايت مطلقه فقيه بوده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اند؛ چرا که اختيارات فقيه را در همان اختیارات پیامبر و امام معرفی کرده و دایره آن شامل تمامی اموری که به دنیای بندگان مربوط می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شود، می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داند: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 «احدهما: کل ما کان للنّبي والامام الذين هم سلاطين الانام و حصون الاسلام، فيـه الولايه و کان لهم، فللفقيه ايضاً ذلک الّا ما اخرجه الدليل ... ثانيهما : إنّ کل فعل متعلق بامور العبـاد في دنياهم و لابد من الاتيان ... فهو وظيفه الفقيه، له التصرف فيه والاتيان به .»</w:t>
      </w:r>
      <w:bookmarkStart w:id="40" w:name="_ftnref36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"_ftn36"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[36]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40"/>
    </w:p>
    <w:p w:rsidR="00667332" w:rsidRPr="00667332" w:rsidRDefault="00667332" w:rsidP="00667332">
      <w:pPr>
        <w:spacing w:before="240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در واقع ايشان اختيارات و وظايف فقها را همانند پيامبر و امام مي دانند مگر جايي که با دلايل خاص مانند اجماع يا نص خــــارج شده باشد. بعلاوه دايره‌ی  ولايت فقيه را شامل کل امور ديني و دنيوي مردم مي دانسته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اند.دلايلي که مرحوم نراقي در اين مسئلـــه ارائه می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کند، علاوه بر اجماع، روايات زيادي است که در اين مورد از معصومين وارد شده، از جمله اخباري که فقهاء را وارث انبياء، امناء رسل حاکم و قاضي و حجت از طرف معصومين(ع)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داند.</w:t>
      </w:r>
      <w:bookmarkStart w:id="41" w:name="_ftnref37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"_ftn37"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[37]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41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ايشان مصاديق ولايت فقها را نيز مشخص کرده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 که از جمله‌ی  آنها عبارتند از: افتاء، اموال يتيم، اجراي حدود و تعزيرات، اموال سفهاء و مجانيني که ولي ندارند، اموال غائبين، ولايت در نکاح صغر و مجانين فاقد ولي، تصــرف در اموال امام از جمله خمس، مال مجهول المالک و بي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وارث، تصرف در اوقاف، عمل به وصاياي ميت بي وصي..</w:t>
      </w:r>
      <w:bookmarkStart w:id="42" w:name="_ftnref38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"_ftn38"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[38]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42"/>
    </w:p>
    <w:p w:rsidR="00667332" w:rsidRPr="00667332" w:rsidRDefault="00667332" w:rsidP="00667332">
      <w:pPr>
        <w:pStyle w:val="Heading3"/>
        <w:spacing w:before="0"/>
        <w:rPr>
          <w:rFonts w:ascii="Arial" w:hAnsi="Arial" w:cs="Arial"/>
          <w:color w:val="334D55"/>
          <w:sz w:val="28"/>
          <w:szCs w:val="28"/>
          <w:rtl/>
        </w:rPr>
      </w:pPr>
      <w:bookmarkStart w:id="43" w:name="_Toc330710692"/>
      <w:r w:rsidRPr="00667332">
        <w:rPr>
          <w:rFonts w:ascii="Arial" w:hAnsi="Arial" w:cs="Arial"/>
          <w:color w:val="334D55"/>
          <w:sz w:val="28"/>
          <w:szCs w:val="28"/>
          <w:rtl/>
        </w:rPr>
        <w:t>3- صاحب جواهر محمد حسن نجفي (متوفي 1266)</w:t>
      </w:r>
      <w:bookmarkEnd w:id="43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صاحب جواهر در بخش «امر به معروف و نهی از منکر»  کتاب 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جواهرالکلام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، از قول بسياري از علما از جمله فاضل مقداد، شهيدين، محقق کـرکي و دیگران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نويسد: «جايز است براي فقهاي آگاه به احکام شرع، اقامه حدود در حال غيبت امــــام، همانطور که حکم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کنند بين مردم در صورت داشتن امنيت و واجب است بر مـردم که ياري کنند وي را، همانطور که ياري به امام واجب است.»</w:t>
      </w:r>
      <w:bookmarkStart w:id="44" w:name="_ftnref39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"_ftn39"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[39]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44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وي اين مطلب را نظر مشهور علما دانسته و اظهار تعجب مي کند از بعضي کتب و علما که با اين همه وضوحِ دلايل ولايت فقيه در اين امـــر توقف کرده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اند. خصوصاً با وجود روايت عمر بن حنظله و مقبوله‌ی  ابي خـديجه و قول امام زمان (عج) در توقيعش به احمد بن اسحاق و این قول امام صادق(ع) کـــه فرموده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 xml:space="preserve">اند: «فإني قد جعلته عليکم حاکماً ... فإنهم حجتي عليکـــم و انا حجـــه‌ی  الله </w:t>
      </w:r>
      <w:r w:rsidRPr="00667332">
        <w:rPr>
          <w:rFonts w:ascii="Arial" w:hAnsi="Arial" w:cs="Arial"/>
          <w:color w:val="000000"/>
          <w:sz w:val="28"/>
          <w:szCs w:val="28"/>
          <w:rtl/>
        </w:rPr>
        <w:lastRenderedPageBreak/>
        <w:t>» که به روشني و صراحت تأکيد دارد بر حجت بودن فقهاء همانطور که امام حجت است از جمله در اقامه حدود.</w:t>
      </w:r>
      <w:bookmarkStart w:id="45" w:name="_ftnref40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"_ftn40"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[40]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45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همچنين ايشان نسبت به کســاني که در امر ولايت فقيــــه وسوسه وترديد دارند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گويد: اينها گويي طعم فقــــه را نچشيده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 و منظورِ معصومين(ع) را از اين همه روايات مبني بر حجت قـرار دادن آنها ( فقهاء) نفهميده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اند. به نظر ايشان عجيب تر اين است که چنين افــرادي با وجود حکم علماي بزرگ دين و استوانه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هاي مذهب به اصل يقيني ولايت فقيـــه،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خواهند با رواياتي ضعيف بر عقيده خودشان استناد و استدلال کنند.</w:t>
      </w:r>
      <w:bookmarkStart w:id="46" w:name="_ftnref41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"_ftn41"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[41]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46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ايشان در مورد «عـام بودن حکم ولايت فقيه» به آيه‌ی  «يا داوود انا جعلناک خليفه‌ی  في الارض فاحکم بين الناس بالحق» استدلال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کنند؛ چــرا که خليفه قراردادن عرفاً عموميت ولايت را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رساند.</w:t>
      </w:r>
      <w:bookmarkStart w:id="47" w:name="_ftnref42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"_ftn42"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[42]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47"/>
    </w:p>
    <w:p w:rsidR="00667332" w:rsidRPr="00667332" w:rsidRDefault="00667332" w:rsidP="00667332">
      <w:pPr>
        <w:pStyle w:val="Heading3"/>
        <w:spacing w:before="0"/>
        <w:rPr>
          <w:rFonts w:ascii="Arial" w:hAnsi="Arial" w:cs="Arial"/>
          <w:color w:val="334D55"/>
          <w:sz w:val="28"/>
          <w:szCs w:val="28"/>
          <w:rtl/>
        </w:rPr>
      </w:pPr>
      <w:bookmarkStart w:id="48" w:name="_Toc330710693"/>
      <w:r w:rsidRPr="00667332">
        <w:rPr>
          <w:rFonts w:ascii="Arial" w:hAnsi="Arial" w:cs="Arial"/>
          <w:color w:val="334D55"/>
          <w:sz w:val="28"/>
          <w:szCs w:val="28"/>
          <w:rtl/>
        </w:rPr>
        <w:t>4- شيخ انصاري (1281 – 1214)</w:t>
      </w:r>
      <w:bookmarkEnd w:id="48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شيخ مرتضي انصاري در کتاب 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المکاسب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 براي فقيه مناصب سه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گانه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اي را به اين شرح بیان کرده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اند:</w:t>
      </w:r>
      <w:bookmarkStart w:id="49" w:name="_ftnref43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"_ftn43"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[43]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49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1- افتاء در آنچه که عموم مردم در عملشان به آن محتاجند؛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2- حکم کردن و قضاوت در مرافعـــات و اختلافـــات که فتواً و نصاً براي فقيه ثابت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داند؛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3- ولايت تصرف در اموال و انفس.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همچنين در 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کتاب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softHyphen/>
        <w:t>الخمس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 ضمن بيان اين مطلب که مالک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تواند از اول خمس را به مجتهد بدهد و مجتهد هم بايد بپذيرد، همـانند مال هر غايب، نیابت عام و حجت بودن از سوی امام بر رعیت را از جمله دلايل وجوب تحويل خمس به مجتهد می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شمارد.</w:t>
      </w:r>
      <w:bookmarkStart w:id="50" w:name="_ftnref44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"_ftn44"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[44]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50"/>
    </w:p>
    <w:p w:rsidR="00667332" w:rsidRPr="00667332" w:rsidRDefault="00667332" w:rsidP="00667332">
      <w:pPr>
        <w:pStyle w:val="Heading3"/>
        <w:spacing w:before="0"/>
        <w:rPr>
          <w:rFonts w:ascii="Arial" w:hAnsi="Arial" w:cs="Arial"/>
          <w:color w:val="334D55"/>
          <w:sz w:val="28"/>
          <w:szCs w:val="28"/>
          <w:rtl/>
        </w:rPr>
      </w:pPr>
      <w:bookmarkStart w:id="51" w:name="_Toc330710694"/>
      <w:r w:rsidRPr="00667332">
        <w:rPr>
          <w:rFonts w:ascii="Arial" w:hAnsi="Arial" w:cs="Arial"/>
          <w:color w:val="334D55"/>
          <w:sz w:val="28"/>
          <w:szCs w:val="28"/>
          <w:rtl/>
        </w:rPr>
        <w:t>5- آيت الله بروجردي(1380 – 1292)</w:t>
      </w:r>
      <w:bookmarkEnd w:id="51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نظرات ايشان در مورد ولايت فقيـــه در کتاب 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البـدر الظاهر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 توسط آقاي منتظري جمع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آوري شده که در بخشي از اين کتاب آمده: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«نظر آقاي بروجردي اين است که فقهــاء در عصر غيبت در مورد اقامه نماز جمعه مأذون هستند و شايد اين را از دلايل ولايت فقيه و حکومت او دانسته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اند؛ چــرا که وقتي اذن حکومت براي فقيه باشد، پس همه شئون، آن از جملـــه اقامه نماز جمعه هم برايش مأذون است مانند عصر پيامبر (ص) و خلفاء.</w:t>
      </w:r>
      <w:bookmarkStart w:id="52" w:name="_ftnref45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"_ftn45"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[45]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52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 xml:space="preserve">ايشان عمده‌ی  ادله‌ی  ولايت فقيه را مقبوله‌ی  عمـر بن حنظله و روايت ابو خديجه دانسته و مراد از«حاکماً» در اين مقبولـه را حاکميت فقيه در تمام مسائل اجتماعي که وظيفه‌ی  فرد خاصي نبوده و </w:t>
      </w:r>
      <w:r w:rsidRPr="00667332">
        <w:rPr>
          <w:rFonts w:ascii="Arial" w:hAnsi="Arial" w:cs="Arial"/>
          <w:color w:val="000000"/>
          <w:sz w:val="28"/>
          <w:szCs w:val="28"/>
          <w:rtl/>
        </w:rPr>
        <w:lastRenderedPageBreak/>
        <w:t>ضمناً شـــارع راضي به تعطيل آنهـا نيست،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داند که از جملـــه‌ی  آنها قضاوت است. وي فقيه عـادل را بالجمله منصوب از سوي ائمه(ع) در تمامي امور عام البلوا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داند.</w:t>
      </w:r>
      <w:bookmarkStart w:id="53" w:name="_ftnref46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"_ftn46"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[46]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53"/>
    </w:p>
    <w:p w:rsidR="00667332" w:rsidRPr="00667332" w:rsidRDefault="00667332" w:rsidP="00667332">
      <w:pPr>
        <w:pStyle w:val="Heading3"/>
        <w:spacing w:before="0"/>
        <w:rPr>
          <w:rFonts w:ascii="Arial" w:hAnsi="Arial" w:cs="Arial"/>
          <w:color w:val="334D55"/>
          <w:sz w:val="28"/>
          <w:szCs w:val="28"/>
          <w:rtl/>
        </w:rPr>
      </w:pPr>
      <w:bookmarkStart w:id="54" w:name="_Toc330710695"/>
      <w:r w:rsidRPr="00667332">
        <w:rPr>
          <w:rFonts w:ascii="Arial" w:hAnsi="Arial" w:cs="Arial"/>
          <w:color w:val="334D55"/>
          <w:sz w:val="28"/>
          <w:szCs w:val="28"/>
          <w:rtl/>
        </w:rPr>
        <w:t>6- امام خميني(ره)</w:t>
      </w:r>
      <w:bookmarkEnd w:id="54"/>
    </w:p>
    <w:p w:rsidR="00667332" w:rsidRPr="00667332" w:rsidRDefault="00667332" w:rsidP="00667332">
      <w:pPr>
        <w:spacing w:before="240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ايشان که خود اولين حکومت مستقل ولايت فقيــه را عملاً اجرا نموده و کاملترين نظريات در مورد ولايت فقيـــه را ارائه نموده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اند، در سخنـــرانيها و کتب متعددشان به مناسبتهاي مختلف بحث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هاي مفصلي در مورد شئون ولايت فقيــه و دلايل اثبات آن داشته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اند. از جمله در 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کتاب البيع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 ابتدا دلايل ضرورت حکومت اسلامي را مطرح کرده و سپس تصدي اين امر در زمان غيبت را متوجه فقهاء عــادل دانسته و بر آنها واجب کفايي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داند. ايشان ضرورت تشکيل حکومت را که از دلايل عقلي ولايت فقيـــه است چنين بيان مي کنند:</w:t>
      </w:r>
    </w:p>
    <w:p w:rsidR="00667332" w:rsidRPr="00667332" w:rsidRDefault="00667332" w:rsidP="00667332">
      <w:pPr>
        <w:spacing w:before="240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«احکام الهي اعم از احکــــام مالي، سياسي و حقوقي همچنان باقي است و نسخ نشده است و نفس وجود احکــام، ضرورت حکومت و ولايت را اقتضاء دارد و حفظ قوانين الهي جز از طريق تشکيل حکومت ممکن نيست؛ زيرا مستلزم هرج و مرج خواهد بود.»</w:t>
      </w:r>
      <w:bookmarkStart w:id="55" w:name="_ftnref47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"_ftn47"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[47]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55"/>
    </w:p>
    <w:p w:rsidR="00667332" w:rsidRPr="00667332" w:rsidRDefault="00667332" w:rsidP="00667332">
      <w:pPr>
        <w:spacing w:before="240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از ديگر دلايل ضــرورت حکومت از نظر ايشان حفظ نظام اسلام و ثغور مسلمين در مقابل تهاجم دشمن است که عقلاً و شــــرعاً واجب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باشد و همه دلايلي که لزوم حکومت معصوم را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رساند در زمان غيبت هم موجود است.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بنابراين از ديدگاه امـــام باقي بودن احکــام و قوانين الهي و لزوم حفظ مرزهاي اسلام در مقـــابل دشمنان دو دليل وجوب حکومت است. از نظر ايشان کسي مي تواند والي باشد که داراي دو صفت «علــم به قانون» و «عــدالت» باشد و به همين دليل امر ولايت را مختص فقيــه عادل دانسته و بر آنها واجب کفايي شمرده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اند. به اين معني که اگر يکي از آنهـــا موفق به تشکيل حکومت شد، تبعيت از او و ياريش بر ســاير فقهاء واجب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باشد.</w:t>
      </w:r>
      <w:bookmarkStart w:id="56" w:name="_ftnref48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"_ftn48"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[48]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56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 همچنين امام خميني دايره‌ی  اختيــارات حکومتي ولي فقيه را همانند پيامبر(ص) و معصومين(ع)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دانند بي آنکه در فضـــايل معنوي يکي باشند.</w:t>
      </w:r>
      <w:bookmarkStart w:id="57" w:name="_ftnref49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"_ftn49"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[49]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57"/>
      <w:r w:rsidRPr="00667332">
        <w:rPr>
          <w:rFonts w:ascii="Arial" w:hAnsi="Arial" w:cs="Arial"/>
          <w:color w:val="000000"/>
          <w:sz w:val="28"/>
          <w:szCs w:val="28"/>
          <w:rtl/>
        </w:rPr>
        <w:t>در ادامه به ادله نقلي ولايت فقيه مي پردازند که روايات زيادي از قبيل توقيع امام به احمد بن اسحاق، مقبوله‌ی  عمر بن حنظله را ذکـــر کرده و بررسي مي نمايند.</w:t>
      </w:r>
    </w:p>
    <w:p w:rsidR="00667332" w:rsidRPr="00667332" w:rsidRDefault="00667332" w:rsidP="00667332">
      <w:pPr>
        <w:spacing w:before="240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در کتاب </w:t>
      </w:r>
      <w:r w:rsidRPr="00667332">
        <w:rPr>
          <w:rFonts w:ascii="Arial" w:hAnsi="Arial" w:cs="Arial"/>
          <w:i/>
          <w:iCs/>
          <w:color w:val="000000"/>
          <w:sz w:val="28"/>
          <w:szCs w:val="28"/>
          <w:rtl/>
        </w:rPr>
        <w:t>ولايت فقيـــه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t> (حکومت اسلامي) که سخنـــرانيهاي امــام در نجف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باشد، ايشان ولايت فقيــه را از بديهيات و ضروريات مي داند؛ چرا که به نظر ايشان ولايت فقيه از موضوعاتي است که به محض تصور، تصـــديق مي شود و نياز به برهان ندارد؛ يعني هر کس که عقايد و احکام اسلام را حتي مجملاً بداند مسئله‌ی  ولايت فقيه را مي تواند تصور کند. از ديدگـاه امام اينکه امروزه ولايت فقيه را محتاج به دليل و برهان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 xml:space="preserve">دانند، علتش اوضـــاع جامعـــه مسلمين و حوزه هاي علميـــه است؛ چــــرا که         استعمـــارگران چون اسلام را ســـدي در مقابل منافع مــــادي و قدرت سياسي خود مي ديدند و احکام اسلام و ايمـــان و اعتقاد مردم به آن را مزاحم اهداف خود تشخيص دادند، تصميم گرفتند به تحريف عقايد اسـلامی پرداخته و چنين تبليغ کنند که اسلام دين جامعي نيست </w:t>
      </w:r>
      <w:r w:rsidRPr="00667332">
        <w:rPr>
          <w:rFonts w:ascii="Arial" w:hAnsi="Arial" w:cs="Arial"/>
          <w:color w:val="000000"/>
          <w:sz w:val="28"/>
          <w:szCs w:val="28"/>
          <w:rtl/>
        </w:rPr>
        <w:lastRenderedPageBreak/>
        <w:t>و براي دنياي امـــروز و تمدن بشــري قوانين حکومتي ندارد؛ بلکه صرفاً بعضي احکام و اخلاقيات است. متأسفــانه همين امر باعث شد نه تنها مردم عادي بلکه تحصيل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کرده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ها هم نسبت به اسلام دچار اشتباه شوند.</w:t>
      </w:r>
      <w:bookmarkStart w:id="58" w:name="_ftnref50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"_ftn50"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[50]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58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ايشان معتقدند همانطور که پيامبـر(ص) براي اجراي احکام دين حکومت تشکيل دادند، پس از ايشان نيز از آنجايي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که احکـام و حدود و قوانين جزايي اسلام و جهاد و بايد اجــرا شوند و تعطيل بردار نيست، تشکيل حکومت ضرورت دارد. چنانکه بعد از رحلت پيامبر(ص) کسي در باره‌ی  لزوم حکومت شکي نداشت و همه مسلمين در اينکه بايد حکومت باشد اتفاق داشتند و فقط در شخص مورد نظر اختلاف بود.</w:t>
      </w:r>
      <w:bookmarkStart w:id="59" w:name="_ftnref51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"_ftn51"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[51]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59"/>
    </w:p>
    <w:p w:rsidR="00667332" w:rsidRPr="00667332" w:rsidRDefault="00667332" w:rsidP="00667332">
      <w:pPr>
        <w:spacing w:before="240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به نظر امـــام اگر فقيهي پيدا شود که داراي علــم به قانون و عدالت باشد و براي تشکيل حکومت اقدام کند، همان ولايتي را که پيامبر(ص) در اداره‌ی  امور مسلمين داشت، دارا خواهد بود و بر همــه مـــردم لازم است که از او تبعيت نمايند. ایشان اين توهم که اختيــــارات حکومتي پيامبر(ص) بيش از امام علي (ع) و اختيـــارات ايشان بيش از فقيه است را باطل دانسته و بیان می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کنند که ایشان در فضــايل متفاوتند و البته فضايل معنوي باعث افزايش اختيارات حکومتي نمي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شود. بنابراين همـان وظايف پيامبر(ص) و ائمه (ع) در تدارک سپاه و تعيين استانـداران، اخذ ماليات و ... را حاکم اين زمان هم خواهد داشت منتها با نام «عالم عادل».</w:t>
      </w:r>
      <w:bookmarkStart w:id="60" w:name="_ftnref52"/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"_ftn52"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[52]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60"/>
    </w:p>
    <w:p w:rsidR="00667332" w:rsidRPr="00667332" w:rsidRDefault="00667332" w:rsidP="00667332">
      <w:pPr>
        <w:pStyle w:val="Heading2"/>
        <w:bidi/>
        <w:spacing w:before="0" w:beforeAutospacing="0" w:after="0" w:afterAutospacing="0"/>
        <w:rPr>
          <w:rFonts w:ascii="Arial" w:hAnsi="Arial" w:cs="Arial"/>
          <w:color w:val="006699"/>
          <w:sz w:val="28"/>
          <w:szCs w:val="28"/>
          <w:rtl/>
        </w:rPr>
      </w:pPr>
      <w:bookmarkStart w:id="61" w:name="_Toc330710696"/>
      <w:r w:rsidRPr="00667332">
        <w:rPr>
          <w:rFonts w:ascii="Arial" w:hAnsi="Arial" w:cs="Arial"/>
          <w:color w:val="006699"/>
          <w:sz w:val="28"/>
          <w:szCs w:val="28"/>
          <w:rtl/>
        </w:rPr>
        <w:t>نتيجه</w:t>
      </w:r>
      <w:bookmarkEnd w:id="61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در مجموع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توان پیشینه‌ی  بحث «ولايت فقيـــه» را به عصــر غيبت کبراي امام عصر(عج) بازگرداند؛ چرا که در اين دوره عـــدم دسترسي به معصوم وظــــايف مهمي را متوجه عالمان دين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نمايد. اولين عــالمي که به ارائه نظريات فقهي در اين مورد پرداخته است، شيخ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مفيد(ره) بوده و از آن پس فقهاي شيعـــه در ابواب مختلف فقهي اشــاراتي به مسئله‌ی  ولايت فقها داشته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اند. در هر عصـــري که مواجهه علما با مسائل سياسي و اجتماعي روزشان بيشتر بوده نظـــريات واضحتري در اين مورد ارائه شده است و حتي بعضي از جمله محقق کرکي و کاشف الغطاء بسياري از شئون ولي در جامعه عصر خود را، عملاً خود اجرا می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کرده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اند.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اغلب فقهـــا در ابواب امر به معروف و نهي از منکر و اجراي حدود و تعزيرات، بحث قضاء، عبادات مالي نظير خمس، باب وصايا، نکاح، جهاد اشاراتي در مورد ولايت فقيه جامع الشرايط با عناوين حـــاکم شرع، فقيه عادل و ... داشته اند که هر قدر به قـــرن معاصر نزديک مي شويم نظـــرات جامع تري ارائه شده و بطور غير مستقيم ، ولايت عامه و مطلقه نيز مطرح شده است 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سر انجـام با ظهور بنيانگذار انقلاب اسلامي امام خميني جامعترين نظريات در اين مورد ارائه شده و عملاً به اجرا درآمد. به نظــــر ايشان اختيارات حکومتي ولي فقيه همانند پيامبر(ص) و ائمه(ع) مي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باشد، بي آنکــه از نظـــر فضيلت معنوي قابل مقايسه باشند؛ بلکه فقيـــه بنا بر ضرورت حکومت و لزوم اجراي حدود و قوانين الهي و عدم رضايت شارع بر تعطيل آنهـــا، واجب است إعمـــال ولايت کرده و به نيابت از معصومين(ع) حکومت کند.</w:t>
      </w:r>
    </w:p>
    <w:p w:rsidR="00667332" w:rsidRPr="00667332" w:rsidRDefault="00667332" w:rsidP="00667332">
      <w:pPr>
        <w:pStyle w:val="Heading2"/>
        <w:bidi/>
        <w:spacing w:before="0" w:beforeAutospacing="0" w:after="0" w:afterAutospacing="0"/>
        <w:rPr>
          <w:rFonts w:ascii="Arial" w:hAnsi="Arial" w:cs="Arial"/>
          <w:color w:val="006699"/>
          <w:sz w:val="28"/>
          <w:szCs w:val="28"/>
          <w:rtl/>
        </w:rPr>
      </w:pPr>
      <w:bookmarkStart w:id="62" w:name="_Toc330710697"/>
      <w:r w:rsidRPr="00667332">
        <w:rPr>
          <w:rFonts w:ascii="Arial" w:hAnsi="Arial" w:cs="Arial"/>
          <w:color w:val="006699"/>
          <w:sz w:val="28"/>
          <w:szCs w:val="28"/>
          <w:rtl/>
        </w:rPr>
        <w:lastRenderedPageBreak/>
        <w:t>فهرست منابع</w:t>
      </w:r>
      <w:bookmarkEnd w:id="62"/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1- العکبري البغدادي ، ابي عبدالله محمد بن محمد بن نعمان، المقنعه ، مؤسســه النشــــر الاسلامي قم، چاپ دوم، 1410 ق.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2- ابن براج طـــرابلسي، عبـــدالعزيز، المهـــذب، مؤسســـه نشـــر اسـلامي قـــم، 1406 ق 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3- ابن منظــور ، لســــان العـــرب ، دار احيــــاء التــــراث عــــربي ، بيــــروت ، چـاپ سوم ، 1419 ق.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4- انصاري ، شيخ مـــرتضي ، کتاب المکــــاسب ، مجمع الفکـــر الاسلامي قـــم ، چـــاپ سوم ، 1422 ق.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5- ــــــــــــــــــــ ، کتاب الخمس ، مؤسسه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الهادي قم ، چاپ اول، 1415 ق.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6- جوادي آملي، عبدالله، ولايت فقيه ولايت فقاهت و عدالت، مـرکز نشر اســـراء قم ، چاپ دوم ، 1379ش.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7- جوهري ، اسماعيل بن حماد ، الصحاح تاج اللغــه و صحاح العربيه ، دارالعلم للملابين ، بيروت ، چاپ دوم ، 1399 ش.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8- جهان بزرگي احمد، «پیشینه‌ی  تاریخی، ولایت فقیه، فصلنامه انديشه حوزه، تابستان1378، شماره 17.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8- حلبي ابي الصـــلاح ، الکافي في الفقـــه ، نشـــر مکتبه الامـــام علي (ع)اصفهـــان، 1362ش.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9- حلي ، محمد بن منصور بن احمد بن ادريس الحلي ، کتـــاب السرائر ، مؤسسه نشر اسلامي قم ، چاپ دوم ، 1411 ق.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10 – حلي ، حسن بن يوسف ابن مطهر اسدي ، مختلف الشيعه ، مؤسسـه نشر اسلامي قم ، چاپ اول ، 1413 ق.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11- خمینی، روح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الله، کتاب البیع، مؤسسه تنظیم نشر آثار امام خمینی، 1385.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12- خمینی، روح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الله، ولایت فقیه، مؤسسه تنظیم و نشر آثار امام خمینی، 1388.</w:t>
      </w:r>
    </w:p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</w:rPr>
        <w:t> 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11- راغب اصفهاني ، ابوالقاسم حسين بن محمد ، مفردات في غريب القرآن ، بي جا، کتابفروشي مرتضوي ، چاپ دوم ، 1362.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lastRenderedPageBreak/>
        <w:t>12- طوسي، ابي جعفـــر محمـــد بن حسن، النهايـــه، اانتشـــارات قدس محمـــدي، قـــم، بي تا.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13- عاملي، شمس الدين محمد بن مکي، الدروس الشرعيه في فقه الاماميه، مؤسســه نشر اسلامي قم، بي تا.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14- ــــــــــــــــــــــــــــ ، لمعه دمشقيه، ترجمه علي شيرواني، انتشارات دارالفکر قم، چــاپ سوم، 1374 ش.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15- فراهيدي، خليل بن احمـــد، ترتيب العين ، دفتر نشـــر فرهنگ اسلامي، چاپ دوم، 1367 ش بي جا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16- قاسمي، محمـــد علي و همکاران زير نظر صــادق لاريجاني، فقيهان امامي و عرصه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هاي ولايت فقيه، دانشگاه علوم اسلامي رضوي مشهد، 1384ش.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17- کاشف الغطاء، جعفربن خضر، </w:t>
      </w:r>
      <w:hyperlink r:id="rId5" w:history="1">
        <w:r w:rsidRPr="00667332">
          <w:rPr>
            <w:rStyle w:val="Emphasis"/>
            <w:rFonts w:ascii="Arial" w:hAnsi="Arial" w:cs="Arial"/>
            <w:sz w:val="28"/>
            <w:szCs w:val="28"/>
            <w:rtl/>
            <w:lang w:bidi="ar-SA"/>
          </w:rPr>
          <w:t>کشف</w:t>
        </w:r>
        <w:r w:rsidRPr="00667332">
          <w:rPr>
            <w:rStyle w:val="srtitle"/>
            <w:rFonts w:ascii="Arial" w:hAnsi="Arial" w:cs="Arial"/>
            <w:sz w:val="28"/>
            <w:szCs w:val="28"/>
            <w:lang w:bidi="ar-SA"/>
          </w:rPr>
          <w:t> </w:t>
        </w:r>
        <w:r w:rsidRPr="00667332">
          <w:rPr>
            <w:rStyle w:val="Emphasis"/>
            <w:rFonts w:ascii="Arial" w:hAnsi="Arial" w:cs="Arial"/>
            <w:sz w:val="28"/>
            <w:szCs w:val="28"/>
            <w:rtl/>
            <w:lang w:bidi="ar-SA"/>
          </w:rPr>
          <w:t>الغطاء</w:t>
        </w:r>
        <w:r w:rsidRPr="00667332">
          <w:rPr>
            <w:rStyle w:val="srtitle"/>
            <w:rFonts w:ascii="Arial" w:hAnsi="Arial" w:cs="Arial"/>
            <w:sz w:val="28"/>
            <w:szCs w:val="28"/>
            <w:lang w:bidi="ar-SA"/>
          </w:rPr>
          <w:t> </w:t>
        </w:r>
        <w:r w:rsidRPr="00667332">
          <w:rPr>
            <w:rStyle w:val="srtitle"/>
            <w:rFonts w:ascii="Arial" w:hAnsi="Arial" w:cs="Arial"/>
            <w:sz w:val="28"/>
            <w:szCs w:val="28"/>
            <w:rtl/>
            <w:lang w:bidi="ar-SA"/>
          </w:rPr>
          <w:t>عن مبهمات الشریعه الغراء</w:t>
        </w:r>
      </w:hyperlink>
      <w:r w:rsidRPr="00667332">
        <w:rPr>
          <w:rFonts w:ascii="Arial" w:hAnsi="Arial" w:cs="Arial"/>
          <w:color w:val="000000"/>
          <w:sz w:val="28"/>
          <w:szCs w:val="28"/>
          <w:rtl/>
        </w:rPr>
        <w:t>، </w:t>
      </w:r>
      <w:r w:rsidRPr="00667332">
        <w:rPr>
          <w:rStyle w:val="writersstring"/>
          <w:rFonts w:ascii="Arial" w:hAnsi="Arial" w:cs="Arial"/>
          <w:color w:val="000000"/>
          <w:sz w:val="28"/>
          <w:szCs w:val="28"/>
          <w:rtl/>
          <w:lang w:bidi="ar-SA"/>
        </w:rPr>
        <w:t>عباس تبریزیان (محقق)، عبدالحلیم حلی (محقق)، محمدرضا ذاکری(محقق)، بوستان کتاب قم، 1388.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17- کربلايي پازوکي، علي، انديشه هاي سياسي شيعه در عصر غيبت، دفتر نشر معارف قم، سال1383.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18- کــرکي، علي بن حسين، جامع المقاصد في شرح القواعد، مؤسسه آل البيت لاحياء التراث، بيروت، 1411 ق.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19- محقق حلي ، جعفـر بن سعيد ، شرايع الاسلام با تعليق سيد صادق حسيني شيرازي ، انتشارات رشيد، قم، 1386 ش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20- مرادي ، علي اصغر و اباصلت فروتن ، واژه نامه فقـه سياسي ، مرکز فقهي ائمه اطهار قم، 1389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21- مختاري ، محمـد حسين و علي اصغر مرادي، فرهنگ اصطلاحات فقهي، انجمن قلم ايران، تهران ، 1377 ش.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22- منتظري ، حسينعلي ، البــدرالزاهر في صلاه الجمعـه والمسافر (دروس محمد حسين بروجردي)، انتشارات دفتر تبليغات اسلامي حوزه، قم، چاپ دوم ، 1362ش.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23- مطهري ، مرتضي ، ولاءها و ولايتها، انتشارات صدرا، چ6، 1370.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23- نراقي، مولي احمـــد بن محمـــد مهدي، عوائد الايام ، مکتب الاعلام الاسلامي قم ، سال1417 ق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24- يزدي، ابوالقاسم بن احمـــد، ترجمه شرايع الاسلام، مؤسســه انتشارات و چاپ دانشگاه تهران، اسفند1374.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lastRenderedPageBreak/>
        <w:t> </w:t>
      </w:r>
    </w:p>
    <w:p w:rsidR="00667332" w:rsidRPr="00667332" w:rsidRDefault="00667332" w:rsidP="00667332">
      <w:pPr>
        <w:spacing w:before="100" w:beforeAutospacing="1" w:after="100" w:afterAutospacing="1"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t> </w:t>
      </w:r>
    </w:p>
    <w:p w:rsidR="00667332" w:rsidRPr="00667332" w:rsidRDefault="00667332" w:rsidP="00667332">
      <w:pPr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</w:rPr>
        <w:br w:type="textWrapping" w:clear="all"/>
      </w:r>
    </w:p>
    <w:p w:rsidR="00667332" w:rsidRPr="00667332" w:rsidRDefault="00667332" w:rsidP="00667332">
      <w:pPr>
        <w:rPr>
          <w:rFonts w:ascii="Arial" w:hAnsi="Arial" w:cs="Arial"/>
          <w:color w:val="000000"/>
          <w:sz w:val="28"/>
          <w:szCs w:val="28"/>
        </w:rPr>
      </w:pPr>
      <w:r w:rsidRPr="00667332">
        <w:rPr>
          <w:rFonts w:ascii="Arial" w:hAnsi="Arial" w:cs="Arial"/>
          <w:color w:val="000000"/>
          <w:sz w:val="28"/>
          <w:szCs w:val="28"/>
        </w:rPr>
        <w:pict>
          <v:rect id="_x0000_i1025" style="width:148.95pt;height:.75pt" o:hrpct="330" o:hralign="right" o:hrstd="t" o:hr="t" fillcolor="#a0a0a0" stroked="f"/>
        </w:pict>
      </w:r>
    </w:p>
    <w:bookmarkStart w:id="63" w:name="_ftn1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"_ftnref1"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63"/>
      <w:r w:rsidRPr="00667332">
        <w:rPr>
          <w:rFonts w:ascii="Arial" w:hAnsi="Arial" w:cs="Arial"/>
          <w:color w:val="000000"/>
          <w:sz w:val="28"/>
          <w:szCs w:val="28"/>
          <w:rtl/>
        </w:rPr>
        <w:t> . الجوهري، اسماعيل بن حما، الصحاح، ج6، ص2529 و 2530.</w:t>
      </w:r>
    </w:p>
    <w:bookmarkStart w:id="64" w:name="_ftn2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"_ftnref2"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64"/>
      <w:r w:rsidRPr="00667332">
        <w:rPr>
          <w:rFonts w:ascii="Arial" w:hAnsi="Arial" w:cs="Arial"/>
          <w:color w:val="000000"/>
          <w:sz w:val="28"/>
          <w:szCs w:val="28"/>
          <w:rtl/>
        </w:rPr>
        <w:t> . مطهري، مرتضي، ولاءها و ولايتها، ص13.</w:t>
      </w:r>
    </w:p>
    <w:bookmarkStart w:id="65" w:name="_ftn3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"_ftnref3"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65"/>
      <w:r w:rsidRPr="00667332">
        <w:rPr>
          <w:rFonts w:ascii="Arial" w:hAnsi="Arial" w:cs="Arial"/>
          <w:color w:val="000000"/>
          <w:sz w:val="28"/>
          <w:szCs w:val="28"/>
          <w:rtl/>
        </w:rPr>
        <w:t> . مطهري، مرتضي، همان، ص 14</w:t>
      </w:r>
    </w:p>
    <w:bookmarkStart w:id="66" w:name="_ftn4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"_ftnref4"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66"/>
      <w:r w:rsidRPr="00667332">
        <w:rPr>
          <w:rFonts w:ascii="Arial" w:hAnsi="Arial" w:cs="Arial"/>
          <w:color w:val="000000"/>
          <w:sz w:val="28"/>
          <w:szCs w:val="28"/>
          <w:rtl/>
        </w:rPr>
        <w:t> . جوادي آملي، عبدالله، ولايت فقيه ولايت فقاهت و عدالت، ص122.</w:t>
      </w:r>
    </w:p>
    <w:bookmarkStart w:id="67" w:name="_ftn5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"_ftnref5"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[5]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67"/>
      <w:r w:rsidRPr="00667332">
        <w:rPr>
          <w:rFonts w:ascii="Arial" w:hAnsi="Arial" w:cs="Arial"/>
          <w:color w:val="000000"/>
          <w:sz w:val="28"/>
          <w:szCs w:val="28"/>
          <w:rtl/>
        </w:rPr>
        <w:t> . ابن منظور، لسان العرب، ج10، ص 305.</w:t>
      </w:r>
    </w:p>
    <w:bookmarkStart w:id="68" w:name="_ftn6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"_ftnref6"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[6]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68"/>
      <w:r w:rsidRPr="00667332">
        <w:rPr>
          <w:rFonts w:ascii="Arial" w:hAnsi="Arial" w:cs="Arial"/>
          <w:color w:val="000000"/>
          <w:sz w:val="28"/>
          <w:szCs w:val="28"/>
          <w:rtl/>
        </w:rPr>
        <w:t> . فراهيدي، خليل بن احمد، العين، ج3، ص1410.</w:t>
      </w:r>
    </w:p>
    <w:bookmarkStart w:id="69" w:name="_ftn7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"_ftnref7"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[7]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69"/>
      <w:r w:rsidRPr="00667332">
        <w:rPr>
          <w:rFonts w:ascii="Arial" w:hAnsi="Arial" w:cs="Arial"/>
          <w:color w:val="000000"/>
          <w:sz w:val="28"/>
          <w:szCs w:val="28"/>
          <w:rtl/>
        </w:rPr>
        <w:t> . راغب، مفردات، ص384.</w:t>
      </w:r>
    </w:p>
    <w:bookmarkStart w:id="70" w:name="_ftn8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"_ftnref8"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[8]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70"/>
      <w:r w:rsidRPr="00667332">
        <w:rPr>
          <w:rFonts w:ascii="Arial" w:hAnsi="Arial" w:cs="Arial"/>
          <w:color w:val="000000"/>
          <w:sz w:val="28"/>
          <w:szCs w:val="28"/>
          <w:rtl/>
        </w:rPr>
        <w:t> . جوادي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آملي، عبدالله، همان، ص136.</w:t>
      </w:r>
    </w:p>
    <w:bookmarkStart w:id="71" w:name="_ftn9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"_ftnref9"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[9]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71"/>
      <w:r w:rsidRPr="00667332">
        <w:rPr>
          <w:rFonts w:ascii="Arial" w:hAnsi="Arial" w:cs="Arial"/>
          <w:color w:val="000000"/>
          <w:sz w:val="28"/>
          <w:szCs w:val="28"/>
          <w:rtl/>
        </w:rPr>
        <w:t> . همان، ص137 و 138</w:t>
      </w:r>
    </w:p>
    <w:bookmarkStart w:id="72" w:name="_ftn10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"_ftnref10"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[10]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72"/>
      <w:r w:rsidRPr="00667332">
        <w:rPr>
          <w:rFonts w:ascii="Arial" w:hAnsi="Arial" w:cs="Arial"/>
          <w:color w:val="000000"/>
          <w:sz w:val="28"/>
          <w:szCs w:val="28"/>
          <w:rtl/>
        </w:rPr>
        <w:t> . علي اصغر مرادي و اباصلت فروتن، واژه نامه فقه سياسي ص 184 /محمد حسين مختاري و علي اصغر مرادي ، فرهنگ اصطلاحات فقهي، ص203.</w:t>
      </w:r>
    </w:p>
    <w:bookmarkStart w:id="73" w:name="_ftn11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"_ftnref11"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[11]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73"/>
      <w:r w:rsidRPr="00667332">
        <w:rPr>
          <w:rFonts w:ascii="Arial" w:hAnsi="Arial" w:cs="Arial"/>
          <w:color w:val="000000"/>
          <w:sz w:val="28"/>
          <w:szCs w:val="28"/>
          <w:rtl/>
        </w:rPr>
        <w:t> . جهان بزرگي، احمد، مقاله «پیشینه تاریخی ولایت فقیه»، فصلنامه انديشه حوزه، شماره17، ص188.</w:t>
      </w:r>
    </w:p>
    <w:bookmarkStart w:id="74" w:name="_ftn12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"_ftnref12"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[12]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74"/>
      <w:r w:rsidRPr="00667332">
        <w:rPr>
          <w:rFonts w:ascii="Arial" w:hAnsi="Arial" w:cs="Arial"/>
          <w:color w:val="000000"/>
          <w:sz w:val="28"/>
          <w:szCs w:val="28"/>
          <w:rtl/>
        </w:rPr>
        <w:t> . قاسمي و همکاران ، فقيهان امامي و عرصه هاي ولايت فقيه، ص60 – 47.</w:t>
      </w:r>
    </w:p>
    <w:bookmarkStart w:id="75" w:name="_ftn13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"_ftnref13"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[13]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75"/>
      <w:r w:rsidRPr="00667332">
        <w:rPr>
          <w:rFonts w:ascii="Arial" w:hAnsi="Arial" w:cs="Arial"/>
          <w:color w:val="000000"/>
          <w:sz w:val="28"/>
          <w:szCs w:val="28"/>
          <w:rtl/>
        </w:rPr>
        <w:t> . شيخ مفيد، محمد بن نعمان، المقنعه، ص810.</w:t>
      </w:r>
    </w:p>
    <w:bookmarkStart w:id="76" w:name="_ftn14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"_ftnref14"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[14]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76"/>
      <w:r w:rsidRPr="00667332">
        <w:rPr>
          <w:rFonts w:ascii="Arial" w:hAnsi="Arial" w:cs="Arial"/>
          <w:color w:val="000000"/>
          <w:sz w:val="28"/>
          <w:szCs w:val="28"/>
          <w:rtl/>
        </w:rPr>
        <w:t> . همان، ص812.</w:t>
      </w:r>
    </w:p>
    <w:bookmarkStart w:id="77" w:name="_ftn15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"_ftnref15"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[15]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77"/>
      <w:r w:rsidRPr="00667332">
        <w:rPr>
          <w:rFonts w:ascii="Arial" w:hAnsi="Arial" w:cs="Arial"/>
          <w:color w:val="000000"/>
          <w:sz w:val="28"/>
          <w:szCs w:val="28"/>
          <w:rtl/>
        </w:rPr>
        <w:t> . همان، ص675.</w:t>
      </w:r>
    </w:p>
    <w:bookmarkStart w:id="78" w:name="_ftn16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"_ftnref16"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[16]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78"/>
      <w:r w:rsidRPr="00667332">
        <w:rPr>
          <w:rFonts w:ascii="Arial" w:hAnsi="Arial" w:cs="Arial"/>
          <w:color w:val="000000"/>
          <w:sz w:val="28"/>
          <w:szCs w:val="28"/>
          <w:rtl/>
        </w:rPr>
        <w:t> . حلبي، ابوصلاح، الکافي في الفقه، ص421.</w:t>
      </w:r>
    </w:p>
    <w:bookmarkStart w:id="79" w:name="_ftn17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"_ftnref17"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[17]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79"/>
      <w:r w:rsidRPr="00667332">
        <w:rPr>
          <w:rFonts w:ascii="Arial" w:hAnsi="Arial" w:cs="Arial"/>
          <w:color w:val="000000"/>
          <w:sz w:val="28"/>
          <w:szCs w:val="28"/>
          <w:rtl/>
        </w:rPr>
        <w:t> . همان، ص423.</w:t>
      </w:r>
    </w:p>
    <w:bookmarkStart w:id="80" w:name="_ftn18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lastRenderedPageBreak/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"_ftnref18"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[18]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80"/>
      <w:r w:rsidRPr="00667332">
        <w:rPr>
          <w:rFonts w:ascii="Arial" w:hAnsi="Arial" w:cs="Arial"/>
          <w:color w:val="000000"/>
          <w:sz w:val="28"/>
          <w:szCs w:val="28"/>
          <w:rtl/>
        </w:rPr>
        <w:t> . پيشه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فرد، مصطفي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جعفر، پيشينه نظريه ولايت فقيه، ص 95</w:t>
      </w:r>
    </w:p>
    <w:bookmarkStart w:id="81" w:name="_ftn19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"_ftnref19"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[19]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81"/>
      <w:r w:rsidRPr="00667332">
        <w:rPr>
          <w:rFonts w:ascii="Arial" w:hAnsi="Arial" w:cs="Arial"/>
          <w:color w:val="000000"/>
          <w:sz w:val="28"/>
          <w:szCs w:val="28"/>
          <w:rtl/>
        </w:rPr>
        <w:t> . طوسي، ابو جعفر محمد بن حسن، النهايه، ص356.</w:t>
      </w:r>
    </w:p>
    <w:bookmarkStart w:id="82" w:name="_ftn20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"_ftnref20"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[20]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82"/>
      <w:r w:rsidRPr="00667332">
        <w:rPr>
          <w:rFonts w:ascii="Arial" w:hAnsi="Arial" w:cs="Arial"/>
          <w:color w:val="000000"/>
          <w:sz w:val="28"/>
          <w:szCs w:val="28"/>
          <w:rtl/>
        </w:rPr>
        <w:t> . «و اما الحکـــم بين الناس و القضـــا بين المتخلفين لايجوز إلّا لمن اذن له سلطان الحق في ذلک و قد فوضوا الي فقهاء شيعتهم.» همان ص 301.</w:t>
      </w:r>
    </w:p>
    <w:bookmarkStart w:id="83" w:name="_ftn21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"_ftnref21"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[21]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83"/>
      <w:r w:rsidRPr="00667332">
        <w:rPr>
          <w:rFonts w:ascii="Arial" w:hAnsi="Arial" w:cs="Arial"/>
          <w:color w:val="000000"/>
          <w:sz w:val="28"/>
          <w:szCs w:val="28"/>
          <w:rtl/>
        </w:rPr>
        <w:t> . ابن البراج طرابلسي، عبدالعزيز، المهذب، ص346.</w:t>
      </w:r>
    </w:p>
    <w:bookmarkStart w:id="84" w:name="_ftn22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"_ftnref22"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[22]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84"/>
      <w:r w:rsidRPr="00667332">
        <w:rPr>
          <w:rFonts w:ascii="Arial" w:hAnsi="Arial" w:cs="Arial"/>
          <w:color w:val="000000"/>
          <w:sz w:val="28"/>
          <w:szCs w:val="28"/>
          <w:rtl/>
        </w:rPr>
        <w:t> . الحلي، احمد بن ادريس، کتاب السرائر، ص537.</w:t>
      </w:r>
    </w:p>
    <w:bookmarkStart w:id="85" w:name="_ftn23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"_ftnref23"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[23]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85"/>
      <w:r w:rsidRPr="00667332">
        <w:rPr>
          <w:rFonts w:ascii="Arial" w:hAnsi="Arial" w:cs="Arial"/>
          <w:color w:val="000000"/>
          <w:sz w:val="28"/>
          <w:szCs w:val="28"/>
          <w:rtl/>
        </w:rPr>
        <w:t> . همان، ص545.</w:t>
      </w:r>
    </w:p>
    <w:bookmarkStart w:id="86" w:name="_ftn24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"_ftnref24"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[24]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86"/>
      <w:r w:rsidRPr="00667332">
        <w:rPr>
          <w:rFonts w:ascii="Arial" w:hAnsi="Arial" w:cs="Arial"/>
          <w:color w:val="000000"/>
          <w:sz w:val="28"/>
          <w:szCs w:val="28"/>
          <w:rtl/>
        </w:rPr>
        <w:t> . الحلي، جعفربن سعيد حلي، شرايع الاسلام، ج 4-3، ص362.</w:t>
      </w:r>
    </w:p>
    <w:bookmarkStart w:id="87" w:name="_ftn25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"_ftnref25"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[25]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87"/>
      <w:r w:rsidRPr="00667332">
        <w:rPr>
          <w:rFonts w:ascii="Arial" w:hAnsi="Arial" w:cs="Arial"/>
          <w:color w:val="000000"/>
          <w:sz w:val="28"/>
          <w:szCs w:val="28"/>
          <w:rtl/>
        </w:rPr>
        <w:t xml:space="preserve"> . يزدي، ابوالقاسم 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بن احمد، ترجمه شرايع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الاسلام، ص 139.</w:t>
      </w:r>
    </w:p>
    <w:bookmarkStart w:id="88" w:name="_ftn26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"_ftnref26"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[26]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88"/>
      <w:r w:rsidRPr="00667332">
        <w:rPr>
          <w:rFonts w:ascii="Arial" w:hAnsi="Arial" w:cs="Arial"/>
          <w:color w:val="000000"/>
          <w:sz w:val="28"/>
          <w:szCs w:val="28"/>
          <w:rtl/>
        </w:rPr>
        <w:t> . الحلي، حسن بن يوسف بن مطهر، مختلف الشيعه، ص463.</w:t>
      </w:r>
    </w:p>
    <w:bookmarkStart w:id="89" w:name="_ftn27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"_ftnref27"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[27]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89"/>
      <w:r w:rsidRPr="00667332">
        <w:rPr>
          <w:rFonts w:ascii="Arial" w:hAnsi="Arial" w:cs="Arial"/>
          <w:color w:val="000000"/>
          <w:sz w:val="28"/>
          <w:szCs w:val="28"/>
          <w:rtl/>
        </w:rPr>
        <w:t> . همان.</w:t>
      </w:r>
    </w:p>
    <w:bookmarkStart w:id="90" w:name="_ftn28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"_ftnref28"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[28]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90"/>
      <w:r w:rsidRPr="00667332">
        <w:rPr>
          <w:rFonts w:ascii="Arial" w:hAnsi="Arial" w:cs="Arial"/>
          <w:color w:val="000000"/>
          <w:sz w:val="28"/>
          <w:szCs w:val="28"/>
          <w:rtl/>
        </w:rPr>
        <w:t> .عاملي، شمس الدين محمد بن مکي، الدروس الشرعيه في فقه الاماميه، ص47 و 67.</w:t>
      </w:r>
    </w:p>
    <w:bookmarkStart w:id="91" w:name="_ftn29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"_ftnref29"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[29]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91"/>
      <w:r w:rsidRPr="00667332">
        <w:rPr>
          <w:rFonts w:ascii="Arial" w:hAnsi="Arial" w:cs="Arial"/>
          <w:color w:val="000000"/>
          <w:sz w:val="28"/>
          <w:szCs w:val="28"/>
          <w:rtl/>
        </w:rPr>
        <w:t> . عاملي، شمس الدين محمد بن مکي، لمعه دمشقيه، ص46.</w:t>
      </w:r>
    </w:p>
    <w:bookmarkStart w:id="92" w:name="_ftn30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"_ftnref30"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[30]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92"/>
      <w:r w:rsidRPr="00667332">
        <w:rPr>
          <w:rFonts w:ascii="Arial" w:hAnsi="Arial" w:cs="Arial"/>
          <w:color w:val="000000"/>
          <w:sz w:val="28"/>
          <w:szCs w:val="28"/>
          <w:rtl/>
        </w:rPr>
        <w:t> . همان، ص54.</w:t>
      </w:r>
    </w:p>
    <w:bookmarkStart w:id="93" w:name="_ftn31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"_ftnref31"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[31]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93"/>
      <w:r w:rsidRPr="00667332">
        <w:rPr>
          <w:rFonts w:ascii="Arial" w:hAnsi="Arial" w:cs="Arial"/>
          <w:color w:val="000000"/>
          <w:sz w:val="28"/>
          <w:szCs w:val="28"/>
          <w:rtl/>
        </w:rPr>
        <w:t> . کربلايي پازوکي، علي، انديشه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هاي سياسي شيعه در عصر غيبت، ص77 .</w:t>
      </w:r>
    </w:p>
    <w:bookmarkStart w:id="94" w:name="_ftn32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"_ftnref32"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[32]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94"/>
      <w:r w:rsidRPr="00667332">
        <w:rPr>
          <w:rFonts w:ascii="Arial" w:hAnsi="Arial" w:cs="Arial"/>
          <w:color w:val="000000"/>
          <w:sz w:val="28"/>
          <w:szCs w:val="28"/>
          <w:rtl/>
        </w:rPr>
        <w:t> . کرکي، علي بن حسين، جامع المقاصد في شرح القواعد، ج 11، ص266.</w:t>
      </w:r>
    </w:p>
    <w:bookmarkStart w:id="95" w:name="_ftn33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"_ftnref33"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[33]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95"/>
      <w:r w:rsidRPr="00667332">
        <w:rPr>
          <w:rFonts w:ascii="Arial" w:hAnsi="Arial" w:cs="Arial"/>
          <w:color w:val="000000"/>
          <w:sz w:val="28"/>
          <w:szCs w:val="28"/>
          <w:rtl/>
        </w:rPr>
        <w:t> . کاشف الغطاء، شيخ جعفر، کشف الغطاء، ج 4، ص430.</w:t>
      </w:r>
    </w:p>
    <w:bookmarkStart w:id="96" w:name="_ftn34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"_ftnref34"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[34]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96"/>
      <w:r w:rsidRPr="00667332">
        <w:rPr>
          <w:rFonts w:ascii="Arial" w:hAnsi="Arial" w:cs="Arial"/>
          <w:color w:val="000000"/>
          <w:sz w:val="28"/>
          <w:szCs w:val="28"/>
          <w:rtl/>
        </w:rPr>
        <w:t> . فصلنامه انديشه حوزه، شماره 17، ص 197 به نقل از محمد حسن نجفي ، جواهرالکلام ج 22 ص 156.</w:t>
      </w:r>
    </w:p>
    <w:bookmarkStart w:id="97" w:name="_ftn35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"_ftnref35"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[35]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97"/>
      <w:r w:rsidRPr="00667332">
        <w:rPr>
          <w:rFonts w:ascii="Arial" w:hAnsi="Arial" w:cs="Arial"/>
          <w:color w:val="000000"/>
          <w:sz w:val="28"/>
          <w:szCs w:val="28"/>
          <w:rtl/>
        </w:rPr>
        <w:t> . همان، ص 82.</w:t>
      </w:r>
    </w:p>
    <w:bookmarkStart w:id="98" w:name="_ftn36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"_ftnref36"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[36]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98"/>
      <w:r w:rsidRPr="00667332">
        <w:rPr>
          <w:rFonts w:ascii="Arial" w:hAnsi="Arial" w:cs="Arial"/>
          <w:color w:val="000000"/>
          <w:sz w:val="28"/>
          <w:szCs w:val="28"/>
          <w:rtl/>
        </w:rPr>
        <w:t> . نراقي، مولي احمد، عوائد الايام، ص536.</w:t>
      </w:r>
    </w:p>
    <w:bookmarkStart w:id="99" w:name="_ftn37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"_ftnref37"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[37]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99"/>
      <w:r w:rsidRPr="00667332">
        <w:rPr>
          <w:rFonts w:ascii="Arial" w:hAnsi="Arial" w:cs="Arial"/>
          <w:color w:val="000000"/>
          <w:sz w:val="28"/>
          <w:szCs w:val="28"/>
          <w:rtl/>
        </w:rPr>
        <w:t> . همان.</w:t>
      </w:r>
    </w:p>
    <w:bookmarkStart w:id="100" w:name="_ftn38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"_ftnref38"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[38]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00"/>
      <w:r w:rsidRPr="00667332">
        <w:rPr>
          <w:rFonts w:ascii="Arial" w:hAnsi="Arial" w:cs="Arial"/>
          <w:color w:val="000000"/>
          <w:sz w:val="28"/>
          <w:szCs w:val="28"/>
          <w:rtl/>
        </w:rPr>
        <w:t> . همان، ص539.</w:t>
      </w:r>
    </w:p>
    <w:bookmarkStart w:id="101" w:name="_ftn39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"_ftnref39"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[39]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01"/>
      <w:r w:rsidRPr="00667332">
        <w:rPr>
          <w:rFonts w:ascii="Arial" w:hAnsi="Arial" w:cs="Arial"/>
          <w:color w:val="000000"/>
          <w:sz w:val="28"/>
          <w:szCs w:val="28"/>
          <w:rtl/>
        </w:rPr>
        <w:t> . نجفي، محمدحسن، جواهرالکلام، ص394.</w:t>
      </w:r>
    </w:p>
    <w:bookmarkStart w:id="102" w:name="_ftn40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lastRenderedPageBreak/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"_ftnref40"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[40]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02"/>
      <w:r w:rsidRPr="00667332">
        <w:rPr>
          <w:rFonts w:ascii="Arial" w:hAnsi="Arial" w:cs="Arial"/>
          <w:color w:val="000000"/>
          <w:sz w:val="28"/>
          <w:szCs w:val="28"/>
          <w:rtl/>
        </w:rPr>
        <w:t> . همان.</w:t>
      </w:r>
    </w:p>
    <w:bookmarkStart w:id="103" w:name="_ftn41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"_ftnref41"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[41]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03"/>
      <w:r w:rsidRPr="00667332">
        <w:rPr>
          <w:rFonts w:ascii="Arial" w:hAnsi="Arial" w:cs="Arial"/>
          <w:color w:val="000000"/>
          <w:sz w:val="28"/>
          <w:szCs w:val="28"/>
          <w:rtl/>
        </w:rPr>
        <w:t> . همان، ص397.</w:t>
      </w:r>
    </w:p>
    <w:bookmarkStart w:id="104" w:name="_ftn42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"_ftnref42"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[42]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04"/>
      <w:r w:rsidRPr="00667332">
        <w:rPr>
          <w:rFonts w:ascii="Arial" w:hAnsi="Arial" w:cs="Arial"/>
          <w:color w:val="000000"/>
          <w:sz w:val="28"/>
          <w:szCs w:val="28"/>
          <w:rtl/>
        </w:rPr>
        <w:t> . همان، ص395.</w:t>
      </w:r>
    </w:p>
    <w:bookmarkStart w:id="105" w:name="_ftn43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"_ftnref43"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[43]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05"/>
      <w:r w:rsidRPr="00667332">
        <w:rPr>
          <w:rFonts w:ascii="Arial" w:hAnsi="Arial" w:cs="Arial"/>
          <w:color w:val="000000"/>
          <w:sz w:val="28"/>
          <w:szCs w:val="28"/>
          <w:rtl/>
        </w:rPr>
        <w:t> . شيخ انصاري، مرتضي، کتاب المکاسب، ج3، ص 545.</w:t>
      </w:r>
    </w:p>
    <w:bookmarkStart w:id="106" w:name="_ftn44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"_ftnref44"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[44]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06"/>
      <w:r w:rsidRPr="00667332">
        <w:rPr>
          <w:rFonts w:ascii="Arial" w:hAnsi="Arial" w:cs="Arial"/>
          <w:color w:val="000000"/>
          <w:sz w:val="28"/>
          <w:szCs w:val="28"/>
          <w:rtl/>
        </w:rPr>
        <w:t> . همو، کتاب الخمس، ص337.</w:t>
      </w:r>
    </w:p>
    <w:bookmarkStart w:id="107" w:name="_ftn45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"_ftnref45"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[45]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07"/>
      <w:r w:rsidRPr="00667332">
        <w:rPr>
          <w:rFonts w:ascii="Arial" w:hAnsi="Arial" w:cs="Arial"/>
          <w:color w:val="000000"/>
          <w:sz w:val="28"/>
          <w:szCs w:val="28"/>
          <w:rtl/>
        </w:rPr>
        <w:t> . منتظري، حسينعلي، البدرالزاهر(دروس آيت الله بروجردي)، ص50.</w:t>
      </w:r>
    </w:p>
    <w:bookmarkStart w:id="108" w:name="_ftn46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"_ftnref46"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[46]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08"/>
      <w:r w:rsidRPr="00667332">
        <w:rPr>
          <w:rFonts w:ascii="Arial" w:hAnsi="Arial" w:cs="Arial"/>
          <w:color w:val="000000"/>
          <w:sz w:val="28"/>
          <w:szCs w:val="28"/>
          <w:rtl/>
        </w:rPr>
        <w:t> . همان، ص57.</w:t>
      </w:r>
    </w:p>
    <w:bookmarkStart w:id="109" w:name="_ftn47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"_ftnref47"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[47]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09"/>
      <w:r w:rsidRPr="00667332">
        <w:rPr>
          <w:rFonts w:ascii="Arial" w:hAnsi="Arial" w:cs="Arial"/>
          <w:color w:val="000000"/>
          <w:sz w:val="28"/>
          <w:szCs w:val="28"/>
          <w:rtl/>
        </w:rPr>
        <w:t> . امام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خميني، کتاب البيع، ص 619.</w:t>
      </w:r>
    </w:p>
    <w:bookmarkStart w:id="110" w:name="_ftn48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"_ftnref48"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[48]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10"/>
      <w:r w:rsidRPr="00667332">
        <w:rPr>
          <w:rFonts w:ascii="Arial" w:hAnsi="Arial" w:cs="Arial"/>
          <w:color w:val="000000"/>
          <w:sz w:val="28"/>
          <w:szCs w:val="28"/>
          <w:rtl/>
        </w:rPr>
        <w:t> . همان، ص623 و 624.</w:t>
      </w:r>
    </w:p>
    <w:bookmarkStart w:id="111" w:name="_ftn49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"_ftnref49"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[49]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11"/>
      <w:r w:rsidRPr="00667332">
        <w:rPr>
          <w:rFonts w:ascii="Arial" w:hAnsi="Arial" w:cs="Arial"/>
          <w:color w:val="000000"/>
          <w:sz w:val="28"/>
          <w:szCs w:val="28"/>
          <w:rtl/>
          <w:lang w:bidi="ar-SA"/>
        </w:rPr>
        <w:t> . همان، ص625.</w:t>
      </w:r>
    </w:p>
    <w:bookmarkStart w:id="112" w:name="_ftn50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"_ftnref50"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[50]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12"/>
      <w:r w:rsidRPr="00667332">
        <w:rPr>
          <w:rFonts w:ascii="Arial" w:hAnsi="Arial" w:cs="Arial"/>
          <w:color w:val="000000"/>
          <w:sz w:val="28"/>
          <w:szCs w:val="28"/>
          <w:rtl/>
        </w:rPr>
        <w:t> . امام</w:t>
      </w:r>
      <w:r w:rsidRPr="00667332">
        <w:rPr>
          <w:rFonts w:ascii="Arial" w:hAnsi="Arial" w:cs="Arial"/>
          <w:color w:val="000000"/>
          <w:sz w:val="28"/>
          <w:szCs w:val="28"/>
          <w:rtl/>
        </w:rPr>
        <w:softHyphen/>
        <w:t>خميني، ولايت فقيه، ص10-9 .</w:t>
      </w:r>
    </w:p>
    <w:bookmarkStart w:id="113" w:name="_ftn51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"_ftnref51"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[51]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13"/>
      <w:r w:rsidRPr="00667332">
        <w:rPr>
          <w:rFonts w:ascii="Arial" w:hAnsi="Arial" w:cs="Arial"/>
          <w:color w:val="000000"/>
          <w:sz w:val="28"/>
          <w:szCs w:val="28"/>
          <w:rtl/>
        </w:rPr>
        <w:t> . همان، ص26 و 28.</w:t>
      </w:r>
    </w:p>
    <w:bookmarkStart w:id="114" w:name="_ftn52"/>
    <w:p w:rsidR="00667332" w:rsidRPr="00667332" w:rsidRDefault="00667332" w:rsidP="00667332">
      <w:pPr>
        <w:pStyle w:val="FootnoteText"/>
        <w:bidi/>
        <w:rPr>
          <w:rFonts w:ascii="Arial" w:hAnsi="Arial" w:cs="Arial"/>
          <w:color w:val="000000"/>
          <w:sz w:val="28"/>
          <w:szCs w:val="28"/>
          <w:rtl/>
        </w:rPr>
      </w:pP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begin"/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</w:instrText>
      </w:r>
      <w:r w:rsidRPr="00667332">
        <w:rPr>
          <w:rFonts w:ascii="Arial" w:hAnsi="Arial" w:cs="Arial"/>
          <w:color w:val="000000"/>
          <w:sz w:val="28"/>
          <w:szCs w:val="28"/>
        </w:rPr>
        <w:instrText>HYPERLINK "http://intjz.net/maqalat/sh-Vilayat%20Faqih%202.htm" \l "_ftnref52" \o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instrText xml:space="preserve"> "" </w:instrTex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separate"/>
      </w:r>
      <w:r w:rsidRPr="00667332">
        <w:rPr>
          <w:rStyle w:val="FootnoteReference"/>
          <w:rFonts w:ascii="Arial" w:hAnsi="Arial" w:cs="Arial"/>
          <w:color w:val="006699"/>
          <w:sz w:val="28"/>
          <w:szCs w:val="28"/>
        </w:rPr>
        <w:t>[52]</w:t>
      </w:r>
      <w:r w:rsidRPr="00667332">
        <w:rPr>
          <w:rFonts w:ascii="Arial" w:hAnsi="Arial" w:cs="Arial"/>
          <w:color w:val="000000"/>
          <w:sz w:val="28"/>
          <w:szCs w:val="28"/>
          <w:rtl/>
        </w:rPr>
        <w:fldChar w:fldCharType="end"/>
      </w:r>
      <w:bookmarkEnd w:id="114"/>
      <w:r w:rsidRPr="00667332">
        <w:rPr>
          <w:rFonts w:ascii="Arial" w:hAnsi="Arial" w:cs="Arial"/>
          <w:color w:val="000000"/>
          <w:sz w:val="28"/>
          <w:szCs w:val="28"/>
          <w:rtl/>
        </w:rPr>
        <w:t> . همان، ص50 و 51.</w:t>
      </w:r>
    </w:p>
    <w:bookmarkEnd w:id="0"/>
    <w:p w:rsidR="00FE6094" w:rsidRPr="00667332" w:rsidRDefault="00FE6094" w:rsidP="00667332">
      <w:pPr>
        <w:rPr>
          <w:rFonts w:ascii="Arial" w:hAnsi="Arial" w:cs="Arial"/>
          <w:sz w:val="28"/>
          <w:szCs w:val="28"/>
          <w:rtl/>
        </w:rPr>
      </w:pPr>
    </w:p>
    <w:sectPr w:rsidR="00FE6094" w:rsidRPr="00667332" w:rsidSect="00C9554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97D"/>
    <w:rsid w:val="000D0FF0"/>
    <w:rsid w:val="00146112"/>
    <w:rsid w:val="0017497D"/>
    <w:rsid w:val="001F766A"/>
    <w:rsid w:val="002B7F7D"/>
    <w:rsid w:val="00507070"/>
    <w:rsid w:val="0058243A"/>
    <w:rsid w:val="0063063E"/>
    <w:rsid w:val="0065396F"/>
    <w:rsid w:val="00667332"/>
    <w:rsid w:val="006E6E2E"/>
    <w:rsid w:val="0078052D"/>
    <w:rsid w:val="007A5F04"/>
    <w:rsid w:val="007C2B79"/>
    <w:rsid w:val="007C63C9"/>
    <w:rsid w:val="00A55663"/>
    <w:rsid w:val="00AF6129"/>
    <w:rsid w:val="00C95540"/>
    <w:rsid w:val="00CA1FBD"/>
    <w:rsid w:val="00CD695B"/>
    <w:rsid w:val="00E12CD8"/>
    <w:rsid w:val="00E7396F"/>
    <w:rsid w:val="00F21F4F"/>
    <w:rsid w:val="00FE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65396F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60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7497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7497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97D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65396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65396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s5692">
    <w:name w:val="cls5692"/>
    <w:basedOn w:val="DefaultParagraphFont"/>
    <w:rsid w:val="007C2B79"/>
  </w:style>
  <w:style w:type="character" w:customStyle="1" w:styleId="cls3247">
    <w:name w:val="cls3247"/>
    <w:basedOn w:val="DefaultParagraphFont"/>
    <w:rsid w:val="007C2B79"/>
  </w:style>
  <w:style w:type="character" w:customStyle="1" w:styleId="cls1077">
    <w:name w:val="cls1077"/>
    <w:basedOn w:val="DefaultParagraphFont"/>
    <w:rsid w:val="007C2B79"/>
  </w:style>
  <w:style w:type="character" w:customStyle="1" w:styleId="cls8586">
    <w:name w:val="cls8586"/>
    <w:basedOn w:val="DefaultParagraphFont"/>
    <w:rsid w:val="007C2B79"/>
  </w:style>
  <w:style w:type="character" w:customStyle="1" w:styleId="cls1738">
    <w:name w:val="cls1738"/>
    <w:basedOn w:val="DefaultParagraphFont"/>
    <w:rsid w:val="007C2B79"/>
  </w:style>
  <w:style w:type="paragraph" w:customStyle="1" w:styleId="p2">
    <w:name w:val="p2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">
    <w:name w:val="b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">
    <w:name w:val="p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">
    <w:name w:val="gb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ytitr">
    <w:name w:val="pey_titr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ybody">
    <w:name w:val="pey_body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zam1">
    <w:name w:val="p_zam1"/>
    <w:basedOn w:val="DefaultParagraphFont"/>
    <w:rsid w:val="0078052D"/>
  </w:style>
  <w:style w:type="character" w:customStyle="1" w:styleId="pzam">
    <w:name w:val="p_zam"/>
    <w:basedOn w:val="DefaultParagraphFont"/>
    <w:rsid w:val="0078052D"/>
  </w:style>
  <w:style w:type="paragraph" w:customStyle="1" w:styleId="bb">
    <w:name w:val="bb"/>
    <w:basedOn w:val="Normal"/>
    <w:rsid w:val="005824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ab"/>
    <w:basedOn w:val="Normal"/>
    <w:rsid w:val="005824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AF612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609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FootnoteReference">
    <w:name w:val="footnote reference"/>
    <w:basedOn w:val="DefaultParagraphFont"/>
    <w:uiPriority w:val="99"/>
    <w:semiHidden/>
    <w:unhideWhenUsed/>
    <w:rsid w:val="00667332"/>
  </w:style>
  <w:style w:type="paragraph" w:styleId="FootnoteText">
    <w:name w:val="footnote text"/>
    <w:basedOn w:val="Normal"/>
    <w:link w:val="FootnoteTextChar"/>
    <w:uiPriority w:val="99"/>
    <w:semiHidden/>
    <w:unhideWhenUsed/>
    <w:rsid w:val="0066733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733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67332"/>
    <w:rPr>
      <w:i/>
      <w:iCs/>
    </w:rPr>
  </w:style>
  <w:style w:type="character" w:customStyle="1" w:styleId="srtitle">
    <w:name w:val="srtitle"/>
    <w:basedOn w:val="DefaultParagraphFont"/>
    <w:rsid w:val="00667332"/>
  </w:style>
  <w:style w:type="character" w:customStyle="1" w:styleId="writersstring">
    <w:name w:val="writersstring"/>
    <w:basedOn w:val="DefaultParagraphFont"/>
    <w:rsid w:val="006673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65396F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60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7497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7497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97D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65396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65396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s5692">
    <w:name w:val="cls5692"/>
    <w:basedOn w:val="DefaultParagraphFont"/>
    <w:rsid w:val="007C2B79"/>
  </w:style>
  <w:style w:type="character" w:customStyle="1" w:styleId="cls3247">
    <w:name w:val="cls3247"/>
    <w:basedOn w:val="DefaultParagraphFont"/>
    <w:rsid w:val="007C2B79"/>
  </w:style>
  <w:style w:type="character" w:customStyle="1" w:styleId="cls1077">
    <w:name w:val="cls1077"/>
    <w:basedOn w:val="DefaultParagraphFont"/>
    <w:rsid w:val="007C2B79"/>
  </w:style>
  <w:style w:type="character" w:customStyle="1" w:styleId="cls8586">
    <w:name w:val="cls8586"/>
    <w:basedOn w:val="DefaultParagraphFont"/>
    <w:rsid w:val="007C2B79"/>
  </w:style>
  <w:style w:type="character" w:customStyle="1" w:styleId="cls1738">
    <w:name w:val="cls1738"/>
    <w:basedOn w:val="DefaultParagraphFont"/>
    <w:rsid w:val="007C2B79"/>
  </w:style>
  <w:style w:type="paragraph" w:customStyle="1" w:styleId="p2">
    <w:name w:val="p2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">
    <w:name w:val="b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">
    <w:name w:val="p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">
    <w:name w:val="gb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ytitr">
    <w:name w:val="pey_titr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ybody">
    <w:name w:val="pey_body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zam1">
    <w:name w:val="p_zam1"/>
    <w:basedOn w:val="DefaultParagraphFont"/>
    <w:rsid w:val="0078052D"/>
  </w:style>
  <w:style w:type="character" w:customStyle="1" w:styleId="pzam">
    <w:name w:val="p_zam"/>
    <w:basedOn w:val="DefaultParagraphFont"/>
    <w:rsid w:val="0078052D"/>
  </w:style>
  <w:style w:type="paragraph" w:customStyle="1" w:styleId="bb">
    <w:name w:val="bb"/>
    <w:basedOn w:val="Normal"/>
    <w:rsid w:val="005824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ab"/>
    <w:basedOn w:val="Normal"/>
    <w:rsid w:val="005824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AF612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609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FootnoteReference">
    <w:name w:val="footnote reference"/>
    <w:basedOn w:val="DefaultParagraphFont"/>
    <w:uiPriority w:val="99"/>
    <w:semiHidden/>
    <w:unhideWhenUsed/>
    <w:rsid w:val="00667332"/>
  </w:style>
  <w:style w:type="paragraph" w:styleId="FootnoteText">
    <w:name w:val="footnote text"/>
    <w:basedOn w:val="Normal"/>
    <w:link w:val="FootnoteTextChar"/>
    <w:uiPriority w:val="99"/>
    <w:semiHidden/>
    <w:unhideWhenUsed/>
    <w:rsid w:val="0066733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733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67332"/>
    <w:rPr>
      <w:i/>
      <w:iCs/>
    </w:rPr>
  </w:style>
  <w:style w:type="character" w:customStyle="1" w:styleId="srtitle">
    <w:name w:val="srtitle"/>
    <w:basedOn w:val="DefaultParagraphFont"/>
    <w:rsid w:val="00667332"/>
  </w:style>
  <w:style w:type="character" w:customStyle="1" w:styleId="writersstring">
    <w:name w:val="writersstring"/>
    <w:basedOn w:val="DefaultParagraphFont"/>
    <w:rsid w:val="00667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0068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79606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9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96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7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83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1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7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7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2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83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4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7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6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98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0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0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6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0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3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0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1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2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2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5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7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9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7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7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inebook.com/gp/product/9640902028/ref=sr_1_1000_5/190-5123289-11426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4606</Words>
  <Characters>26260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2</cp:revision>
  <dcterms:created xsi:type="dcterms:W3CDTF">2018-12-27T17:11:00Z</dcterms:created>
  <dcterms:modified xsi:type="dcterms:W3CDTF">2018-12-27T17:11:00Z</dcterms:modified>
</cp:coreProperties>
</file>